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廊坊市发展和改革委员会</w:t>
      </w:r>
    </w:p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关于比选2022年廊坊市企业技术中心认定工作评审机构的公告</w:t>
      </w:r>
    </w:p>
    <w:p>
      <w:pPr>
        <w:ind w:firstLine="640" w:firstLineChars="200"/>
        <w:rPr>
          <w:rFonts w:ascii="方正黑体_GBK" w:hAnsi="方正黑体_GBK" w:eastAsia="方正黑体_GBK" w:cs="方正黑体_GBK"/>
          <w:sz w:val="32"/>
          <w:szCs w:val="32"/>
        </w:rPr>
      </w:pPr>
    </w:p>
    <w:p>
      <w:pPr>
        <w:ind w:firstLine="640" w:firstLineChars="200"/>
        <w:rPr>
          <w:rFonts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一、项目概况</w:t>
      </w:r>
    </w:p>
    <w:p>
      <w:pPr>
        <w:spacing w:line="58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本项目为2022年廊坊市企业技术中心认定评审机构比选项目，经费来源为2022年市级财政预算专项资金。该项评审前期工作已经完成，已具备比选评审机构条件。</w:t>
      </w:r>
    </w:p>
    <w:p>
      <w:pPr>
        <w:spacing w:line="580" w:lineRule="exact"/>
        <w:ind w:firstLine="640" w:firstLineChars="200"/>
        <w:rPr>
          <w:rFonts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二、项目需求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比选确定2022年廊坊市企业技术中心认定工作评审机构，按相关规定由其组织对15家企业进行现场考察、专家评审工作，并提出拟推荐认定的意见建议。评审机构聘请的有关专家所在业务领域至少应包括：电子信息及信息服务、装备制造、新能源、新材料、食品、技术经济等。</w:t>
      </w:r>
    </w:p>
    <w:p>
      <w:pPr>
        <w:spacing w:line="580" w:lineRule="exact"/>
        <w:ind w:firstLine="640" w:firstLineChars="200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三、</w:t>
      </w: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申请人（供应商）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资格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 为中华人民共和国境内依法注册的独立法人，不接受联合体</w:t>
      </w:r>
      <w:r>
        <w:rPr>
          <w:rFonts w:hint="eastAsia" w:ascii="仿宋_GB2312" w:eastAsia="仿宋_GB2312"/>
          <w:sz w:val="32"/>
          <w:szCs w:val="32"/>
          <w:lang w:eastAsia="zh-CN"/>
        </w:rPr>
        <w:t>申请</w:t>
      </w:r>
      <w:r>
        <w:rPr>
          <w:rFonts w:hint="eastAsia" w:ascii="仿宋_GB2312" w:eastAsia="仿宋_GB2312"/>
          <w:sz w:val="32"/>
          <w:szCs w:val="32"/>
        </w:rPr>
        <w:t>；</w:t>
      </w:r>
      <w:r>
        <w:rPr>
          <w:rFonts w:ascii="仿宋_GB2312" w:eastAsia="仿宋_GB2312"/>
          <w:sz w:val="32"/>
          <w:szCs w:val="32"/>
        </w:rPr>
        <w:t xml:space="preserve"> 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 满足《中华人民共和国政府采购法》第二十二条规定；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3.具备相关评审业绩的企业、事业单位或者具备评估等级为4A级及以上的社会组织。</w:t>
      </w:r>
    </w:p>
    <w:p>
      <w:pPr>
        <w:spacing w:line="580" w:lineRule="exact"/>
        <w:ind w:firstLine="640" w:firstLineChars="200"/>
        <w:rPr>
          <w:rFonts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四、</w:t>
      </w: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eastAsia="zh-CN"/>
        </w:rPr>
        <w:t>申请人（供应商）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须知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申请人</w:t>
      </w:r>
      <w:r>
        <w:rPr>
          <w:rFonts w:hint="eastAsia" w:ascii="仿宋_GB2312" w:eastAsia="仿宋_GB2312"/>
          <w:sz w:val="32"/>
          <w:szCs w:val="32"/>
        </w:rPr>
        <w:t>应在公告要求截止期限内，按照要求将</w:t>
      </w:r>
      <w:r>
        <w:rPr>
          <w:rFonts w:hint="eastAsia" w:ascii="仿宋_GB2312" w:eastAsia="仿宋_GB2312"/>
          <w:color w:val="auto"/>
          <w:sz w:val="32"/>
          <w:szCs w:val="32"/>
        </w:rPr>
        <w:t>比选</w:t>
      </w:r>
      <w:r>
        <w:rPr>
          <w:rFonts w:hint="eastAsia" w:ascii="仿宋_GB2312" w:eastAsia="仿宋_GB2312"/>
          <w:sz w:val="32"/>
          <w:szCs w:val="32"/>
        </w:rPr>
        <w:t>材料发送指定电子邮箱，</w:t>
      </w:r>
      <w:r>
        <w:rPr>
          <w:rFonts w:hint="eastAsia" w:ascii="仿宋_GB2312" w:eastAsia="仿宋_GB2312"/>
          <w:b/>
          <w:bCs/>
          <w:sz w:val="32"/>
          <w:szCs w:val="32"/>
        </w:rPr>
        <w:t>超期视为无效。</w:t>
      </w:r>
    </w:p>
    <w:p>
      <w:pPr>
        <w:autoSpaceDE w:val="0"/>
        <w:spacing w:line="600" w:lineRule="exact"/>
        <w:ind w:firstLine="642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公告截止日期：2022年10月28日下午17：30。</w:t>
      </w:r>
    </w:p>
    <w:p>
      <w:pPr>
        <w:pStyle w:val="13"/>
        <w:spacing w:after="0" w:line="560" w:lineRule="exact"/>
        <w:ind w:firstLine="642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邮箱：</w:t>
      </w:r>
      <w:r>
        <w:rPr>
          <w:rFonts w:hint="eastAsia" w:ascii="仿宋_GB2312" w:hAnsi="仿宋_GB2312" w:eastAsia="仿宋_GB2312" w:cs="仿宋_GB2312"/>
          <w:sz w:val="32"/>
          <w:szCs w:val="32"/>
        </w:rPr>
        <w:t>lffgwgjsk@126.com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hint="eastAsia" w:ascii="仿宋_GB2312" w:eastAsia="仿宋_GB2312"/>
          <w:color w:val="auto"/>
          <w:sz w:val="32"/>
          <w:szCs w:val="32"/>
        </w:rPr>
        <w:t>比选</w:t>
      </w:r>
      <w:r>
        <w:rPr>
          <w:rFonts w:hint="eastAsia" w:ascii="仿宋_GB2312" w:eastAsia="仿宋_GB2312"/>
          <w:sz w:val="32"/>
          <w:szCs w:val="32"/>
        </w:rPr>
        <w:t>文件包括：①营业执照或社会团体法人登记证书（复印件）、法定代表人身份证（复印件）、项目负责人身份证（复印件）；②报价函（详见附件1）；③项目方案说明（包括对项目理解分析、工作计划等）；④业绩合同（复印件）；⑤专家资格（职称）证书（复印件）。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以上材料均需盖单位公章。</w:t>
      </w:r>
    </w:p>
    <w:p>
      <w:pPr>
        <w:spacing w:line="580" w:lineRule="exact"/>
        <w:ind w:firstLine="640" w:firstLineChars="200"/>
        <w:rPr>
          <w:rFonts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五、比选评分</w:t>
      </w:r>
    </w:p>
    <w:p>
      <w:pPr>
        <w:autoSpaceDE w:val="0"/>
        <w:spacing w:line="600" w:lineRule="exact"/>
        <w:ind w:firstLine="640" w:firstLineChars="200"/>
        <w:rPr>
          <w:rFonts w:ascii="仿宋_GB2312" w:hAnsi="Calibri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廊坊市发展和改革委员会（采购人）</w:t>
      </w:r>
      <w:r>
        <w:rPr>
          <w:rFonts w:hint="eastAsia" w:ascii="仿宋_GB2312" w:eastAsia="仿宋_GB2312"/>
          <w:sz w:val="32"/>
          <w:szCs w:val="32"/>
        </w:rPr>
        <w:t>将在公告截止日起3个工作日内，组织召开比选会议，并将比选结果于当日通知各</w:t>
      </w:r>
      <w:r>
        <w:rPr>
          <w:rFonts w:hint="eastAsia" w:ascii="仿宋_GB2312" w:eastAsia="仿宋_GB2312"/>
          <w:sz w:val="32"/>
          <w:szCs w:val="32"/>
          <w:lang w:eastAsia="zh-CN"/>
        </w:rPr>
        <w:t>申请</w:t>
      </w:r>
      <w:r>
        <w:rPr>
          <w:rFonts w:hint="eastAsia" w:ascii="仿宋_GB2312" w:eastAsia="仿宋_GB2312"/>
          <w:sz w:val="32"/>
          <w:szCs w:val="32"/>
        </w:rPr>
        <w:t>单位。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评分标准：</w:t>
      </w:r>
    </w:p>
    <w:p>
      <w:pPr>
        <w:ind w:firstLine="640" w:firstLineChars="200"/>
        <w:rPr>
          <w:rFonts w:ascii="Calibri" w:eastAsia="宋体"/>
          <w:szCs w:val="21"/>
        </w:rPr>
      </w:pPr>
      <w:r>
        <w:rPr>
          <w:rFonts w:hint="eastAsia" w:ascii="仿宋_GB2312" w:eastAsia="仿宋_GB2312"/>
          <w:sz w:val="32"/>
          <w:szCs w:val="32"/>
        </w:rPr>
        <w:t>评分满分为100分，有4个评分子项，具体说明如下：</w:t>
      </w:r>
    </w:p>
    <w:tbl>
      <w:tblPr>
        <w:tblStyle w:val="14"/>
        <w:tblW w:w="93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3"/>
        <w:gridCol w:w="1817"/>
        <w:gridCol w:w="63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tblHeader/>
          <w:jc w:val="center"/>
        </w:trPr>
        <w:tc>
          <w:tcPr>
            <w:tcW w:w="1223" w:type="dxa"/>
            <w:noWrap/>
            <w:vAlign w:val="center"/>
          </w:tcPr>
          <w:p>
            <w:pPr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序号</w:t>
            </w:r>
          </w:p>
        </w:tc>
        <w:tc>
          <w:tcPr>
            <w:tcW w:w="1817" w:type="dxa"/>
            <w:noWrap/>
            <w:vAlign w:val="center"/>
          </w:tcPr>
          <w:p>
            <w:pPr>
              <w:jc w:val="center"/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评审</w:t>
            </w:r>
          </w:p>
        </w:tc>
        <w:tc>
          <w:tcPr>
            <w:tcW w:w="6328" w:type="dxa"/>
            <w:noWrap/>
            <w:vAlign w:val="center"/>
          </w:tcPr>
          <w:p>
            <w:pPr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9" w:hRule="atLeast"/>
          <w:jc w:val="center"/>
        </w:trPr>
        <w:tc>
          <w:tcPr>
            <w:tcW w:w="1223" w:type="dxa"/>
            <w:noWrap/>
            <w:vAlign w:val="center"/>
          </w:tcPr>
          <w:p>
            <w:pPr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81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报价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（10分）</w:t>
            </w:r>
          </w:p>
        </w:tc>
        <w:tc>
          <w:tcPr>
            <w:tcW w:w="6328" w:type="dxa"/>
            <w:noWrap/>
            <w:vAlign w:val="center"/>
          </w:tcPr>
          <w:p>
            <w:pPr>
              <w:spacing w:line="360" w:lineRule="auto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报价得分统一采用低价优先法计算，即满足采购要求且最后报价最低的单位价格为基准价，其报价得分为满分10分。</w:t>
            </w:r>
          </w:p>
          <w:p>
            <w:pPr>
              <w:spacing w:line="360" w:lineRule="auto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Arial"/>
                <w:szCs w:val="21"/>
              </w:rPr>
              <w:t>其他单位的报价得分统一按照下列公式计算： 报价得分=（基准价/最后报价）×10%×100。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8" w:hRule="atLeast"/>
          <w:jc w:val="center"/>
        </w:trPr>
        <w:tc>
          <w:tcPr>
            <w:tcW w:w="1223" w:type="dxa"/>
            <w:noWrap/>
            <w:vAlign w:val="center"/>
          </w:tcPr>
          <w:p>
            <w:pPr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2</w:t>
            </w:r>
          </w:p>
        </w:tc>
        <w:tc>
          <w:tcPr>
            <w:tcW w:w="181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技术力量</w:t>
            </w:r>
          </w:p>
          <w:p>
            <w:pPr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（</w:t>
            </w:r>
            <w:r>
              <w:rPr>
                <w:rFonts w:hint="eastAsia" w:ascii="宋体" w:hAnsi="宋体" w:cs="Arial"/>
                <w:szCs w:val="21"/>
              </w:rPr>
              <w:t>30</w:t>
            </w:r>
            <w:r>
              <w:rPr>
                <w:rFonts w:ascii="宋体" w:hAnsi="宋体" w:cs="Arial"/>
                <w:szCs w:val="21"/>
              </w:rPr>
              <w:t>分）</w:t>
            </w:r>
          </w:p>
        </w:tc>
        <w:tc>
          <w:tcPr>
            <w:tcW w:w="6328" w:type="dxa"/>
            <w:noWrap/>
            <w:vAlign w:val="center"/>
          </w:tcPr>
          <w:p>
            <w:pPr>
              <w:spacing w:line="360" w:lineRule="auto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单位技术团队专家应从事相关领域研究，其中正高级职称得5分，具有副高级职称4分，具有研究生学历得3分，没有不得分；</w:t>
            </w:r>
          </w:p>
          <w:p>
            <w:pPr>
              <w:spacing w:line="360" w:lineRule="auto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（备注：以上各分项分值不可累加计算，本项分值最高得30分；须提供职称证或学历证，否则不得分。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6" w:hRule="atLeast"/>
          <w:jc w:val="center"/>
        </w:trPr>
        <w:tc>
          <w:tcPr>
            <w:tcW w:w="1223" w:type="dxa"/>
            <w:noWrap/>
            <w:vAlign w:val="center"/>
          </w:tcPr>
          <w:p>
            <w:pPr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3</w:t>
            </w:r>
          </w:p>
        </w:tc>
        <w:tc>
          <w:tcPr>
            <w:tcW w:w="1817" w:type="dxa"/>
            <w:noWrap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同类业绩</w:t>
            </w:r>
          </w:p>
          <w:p>
            <w:pPr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（</w:t>
            </w:r>
            <w:r>
              <w:rPr>
                <w:rFonts w:hint="eastAsia" w:ascii="宋体" w:hAnsi="宋体" w:cs="Arial"/>
                <w:szCs w:val="21"/>
              </w:rPr>
              <w:t>40</w:t>
            </w:r>
            <w:r>
              <w:rPr>
                <w:rFonts w:ascii="宋体" w:hAnsi="宋体" w:cs="Arial"/>
                <w:szCs w:val="21"/>
              </w:rPr>
              <w:t>分）</w:t>
            </w:r>
          </w:p>
        </w:tc>
        <w:tc>
          <w:tcPr>
            <w:tcW w:w="6328" w:type="dxa"/>
            <w:noWrap/>
            <w:vAlign w:val="center"/>
          </w:tcPr>
          <w:p>
            <w:pPr>
              <w:spacing w:line="360" w:lineRule="auto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自 2019年 1 月 1 日至今（以合同签订或立项等时间为准），承担的本领域研究评审，每提供一个省级、市级企业技术中心评审合同得8分。本项最高得 40分，总分超出后按最高分计算。</w:t>
            </w:r>
          </w:p>
          <w:p>
            <w:pPr>
              <w:spacing w:line="360" w:lineRule="auto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（备注：合同扫描件封面、首页及盖章页等证明材料扫描件，否则不得分。）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6" w:hRule="atLeast"/>
          <w:jc w:val="center"/>
        </w:trPr>
        <w:tc>
          <w:tcPr>
            <w:tcW w:w="1223" w:type="dxa"/>
            <w:noWrap/>
            <w:vAlign w:val="center"/>
          </w:tcPr>
          <w:p>
            <w:pPr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4</w:t>
            </w:r>
          </w:p>
        </w:tc>
        <w:tc>
          <w:tcPr>
            <w:tcW w:w="1817" w:type="dxa"/>
            <w:noWrap/>
            <w:vAlign w:val="center"/>
          </w:tcPr>
          <w:p>
            <w:pPr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项目方案说明 （20分）</w:t>
            </w:r>
          </w:p>
        </w:tc>
        <w:tc>
          <w:tcPr>
            <w:tcW w:w="6328" w:type="dxa"/>
            <w:noWrap/>
            <w:vAlign w:val="center"/>
          </w:tcPr>
          <w:p>
            <w:pPr>
              <w:spacing w:line="600" w:lineRule="exact"/>
              <w:ind w:firstLine="420" w:firstLineChars="200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根据</w:t>
            </w:r>
            <w:r>
              <w:rPr>
                <w:rFonts w:hint="eastAsia" w:ascii="宋体" w:hAnsi="宋体" w:cs="Arial"/>
                <w:szCs w:val="21"/>
                <w:lang w:eastAsia="zh-CN"/>
              </w:rPr>
              <w:t>参比</w:t>
            </w:r>
            <w:r>
              <w:rPr>
                <w:rFonts w:hint="eastAsia" w:ascii="宋体" w:hAnsi="宋体" w:cs="Arial"/>
                <w:szCs w:val="21"/>
              </w:rPr>
              <w:t>单位</w:t>
            </w:r>
            <w:r>
              <w:rPr>
                <w:rFonts w:hint="eastAsia" w:ascii="宋体" w:hAnsi="宋体" w:cs="Arial"/>
                <w:szCs w:val="21"/>
                <w:lang w:eastAsia="zh-CN"/>
              </w:rPr>
              <w:t>（供应商）</w:t>
            </w:r>
            <w:r>
              <w:rPr>
                <w:rFonts w:hint="eastAsia" w:ascii="宋体" w:hAnsi="宋体" w:cs="Arial"/>
                <w:szCs w:val="21"/>
              </w:rPr>
              <w:t>申报材料内容评分，综合分析参比单位对市级企业技术中心评审熟悉程度、政策研究理念、计划安排等进行打分。本项最高得 20分。</w:t>
            </w:r>
          </w:p>
          <w:p>
            <w:pPr>
              <w:spacing w:line="360" w:lineRule="auto"/>
              <w:rPr>
                <w:rFonts w:ascii="宋体" w:hAnsi="宋体" w:cs="Arial"/>
                <w:szCs w:val="21"/>
              </w:rPr>
            </w:pPr>
          </w:p>
        </w:tc>
      </w:tr>
    </w:tbl>
    <w:p>
      <w:pPr>
        <w:ind w:firstLine="640" w:firstLineChars="200"/>
        <w:rPr>
          <w:rFonts w:ascii="黑体" w:hAnsi="黑体" w:eastAsia="黑体" w:cs="方正黑体_GBK"/>
          <w:sz w:val="32"/>
          <w:szCs w:val="32"/>
        </w:rPr>
      </w:pPr>
      <w:r>
        <w:rPr>
          <w:rFonts w:hint="eastAsia" w:ascii="黑体" w:hAnsi="黑体" w:eastAsia="黑体" w:cs="方正黑体_GBK"/>
          <w:sz w:val="32"/>
          <w:szCs w:val="32"/>
        </w:rPr>
        <w:t>六、</w:t>
      </w:r>
      <w:r>
        <w:rPr>
          <w:rFonts w:ascii="黑体" w:hAnsi="黑体" w:eastAsia="黑体" w:cs="方正黑体_GBK"/>
          <w:sz w:val="32"/>
          <w:szCs w:val="32"/>
        </w:rPr>
        <w:t>联系方式</w:t>
      </w:r>
    </w:p>
    <w:p>
      <w:pPr>
        <w:pStyle w:val="13"/>
        <w:spacing w:after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联系人：周  振</w:t>
      </w:r>
    </w:p>
    <w:p>
      <w:pPr>
        <w:ind w:firstLine="640" w:firstLineChars="200"/>
      </w:pPr>
      <w:r>
        <w:rPr>
          <w:rFonts w:hint="eastAsia" w:ascii="仿宋_GB2312" w:eastAsia="仿宋_GB2312"/>
          <w:sz w:val="32"/>
          <w:szCs w:val="32"/>
        </w:rPr>
        <w:t xml:space="preserve">地  址：廊坊市新华路66号       </w:t>
      </w:r>
    </w:p>
    <w:p>
      <w:pPr>
        <w:pStyle w:val="13"/>
        <w:spacing w:after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电  话：0316-2316029（工作日：上午8:30-12:00，下午13:30- 17:30） </w:t>
      </w:r>
    </w:p>
    <w:p>
      <w:pPr>
        <w:pStyle w:val="13"/>
        <w:spacing w:after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13"/>
        <w:spacing w:after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特此公告</w:t>
      </w:r>
    </w:p>
    <w:p>
      <w:pPr>
        <w:pStyle w:val="13"/>
        <w:spacing w:after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13"/>
        <w:spacing w:after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廊坊市发展和改革委员会</w:t>
      </w:r>
    </w:p>
    <w:p>
      <w:pPr>
        <w:pStyle w:val="13"/>
        <w:spacing w:after="0"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2022年10月24日</w:t>
      </w:r>
    </w:p>
    <w:p>
      <w:pPr>
        <w:pStyle w:val="13"/>
        <w:spacing w:after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13"/>
        <w:spacing w:after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13"/>
        <w:spacing w:after="0" w:line="580" w:lineRule="exact"/>
        <w:ind w:firstLine="0" w:firstLineChars="0"/>
        <w:rPr>
          <w:rFonts w:ascii="方正黑体_GBK" w:hAnsi="方正黑体_GBK" w:eastAsia="方正黑体_GBK" w:cs="方正黑体_GBK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</w:rPr>
        <w:t>附件1</w:t>
      </w:r>
    </w:p>
    <w:p>
      <w:pPr>
        <w:pStyle w:val="13"/>
        <w:spacing w:after="0" w:line="58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报价函</w:t>
      </w:r>
    </w:p>
    <w:p>
      <w:pPr>
        <w:pStyle w:val="13"/>
        <w:spacing w:after="0" w:line="580" w:lineRule="exact"/>
        <w:ind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13"/>
        <w:spacing w:after="0" w:line="500" w:lineRule="exact"/>
        <w:ind w:firstLine="0" w:firstLineChars="0"/>
        <w:rPr>
          <w:rFonts w:ascii="CESI仿宋-GB2312" w:hAnsi="CESI仿宋-GB2312" w:eastAsia="CESI仿宋-GB2312" w:cs="CESI仿宋-GB2312"/>
          <w:sz w:val="24"/>
        </w:rPr>
      </w:pPr>
      <w:r>
        <w:rPr>
          <w:rFonts w:hint="eastAsia" w:ascii="CESI仿宋-GB2312" w:hAnsi="CESI仿宋-GB2312" w:eastAsia="CESI仿宋-GB2312" w:cs="CESI仿宋-GB2312"/>
          <w:sz w:val="24"/>
        </w:rPr>
        <w:t>廊坊市发展和改革委员会:</w:t>
      </w:r>
    </w:p>
    <w:p>
      <w:pPr>
        <w:spacing w:line="500" w:lineRule="exact"/>
        <w:ind w:firstLine="480" w:firstLineChars="200"/>
        <w:rPr>
          <w:rFonts w:ascii="CESI仿宋-GB2312" w:hAnsi="CESI仿宋-GB2312" w:eastAsia="CESI仿宋-GB2312" w:cs="CESI仿宋-GB2312"/>
          <w:sz w:val="24"/>
        </w:rPr>
      </w:pPr>
      <w:r>
        <w:rPr>
          <w:rFonts w:hint="eastAsia" w:ascii="CESI仿宋-GB2312" w:hAnsi="CESI仿宋-GB2312" w:eastAsia="CESI仿宋-GB2312" w:cs="CESI仿宋-GB2312"/>
          <w:sz w:val="24"/>
        </w:rPr>
        <w:t>我单位就2022年廊坊市企业技术中心评审提交报价文件，并同时宣布愿意遵守下列条款：</w:t>
      </w:r>
    </w:p>
    <w:p>
      <w:pPr>
        <w:spacing w:line="500" w:lineRule="exact"/>
        <w:ind w:firstLine="480"/>
        <w:rPr>
          <w:rFonts w:ascii="CESI仿宋-GB2312" w:hAnsi="CESI仿宋-GB2312" w:eastAsia="CESI仿宋-GB2312" w:cs="CESI仿宋-GB2312"/>
          <w:sz w:val="24"/>
        </w:rPr>
      </w:pPr>
      <w:r>
        <w:rPr>
          <w:rFonts w:hint="eastAsia" w:ascii="CESI仿宋-GB2312" w:hAnsi="CESI仿宋-GB2312" w:eastAsia="CESI仿宋-GB2312" w:cs="CESI仿宋-GB2312"/>
          <w:sz w:val="24"/>
        </w:rPr>
        <w:t>1）承认和愿意按照《关于比选2022年廊坊市企业技术中心评审机构的公告》及合同中各项规定和要求，提供本项目所需服务，所提供的服务完全满足贵方要求。</w:t>
      </w:r>
    </w:p>
    <w:p>
      <w:pPr>
        <w:spacing w:line="500" w:lineRule="exact"/>
        <w:ind w:firstLine="480"/>
        <w:rPr>
          <w:rFonts w:ascii="CESI仿宋-GB2312" w:hAnsi="CESI仿宋-GB2312" w:eastAsia="CESI仿宋-GB2312" w:cs="CESI仿宋-GB2312"/>
          <w:sz w:val="24"/>
        </w:rPr>
      </w:pPr>
      <w:r>
        <w:rPr>
          <w:rFonts w:hint="eastAsia" w:ascii="CESI仿宋-GB2312" w:hAnsi="CESI仿宋-GB2312" w:eastAsia="CESI仿宋-GB2312" w:cs="CESI仿宋-GB2312"/>
          <w:sz w:val="24"/>
        </w:rPr>
        <w:t xml:space="preserve">我单位报价为: </w:t>
      </w:r>
      <w:r>
        <w:rPr>
          <w:rFonts w:hint="eastAsia" w:ascii="CESI仿宋-GB2312" w:hAnsi="CESI仿宋-GB2312" w:eastAsia="CESI仿宋-GB2312" w:cs="CESI仿宋-GB2312"/>
          <w:sz w:val="24"/>
          <w:u w:val="single"/>
        </w:rPr>
        <w:t>人民币（大写）   元整 (小写¥      )</w:t>
      </w:r>
      <w:r>
        <w:rPr>
          <w:rFonts w:hint="eastAsia" w:ascii="CESI仿宋-GB2312" w:hAnsi="CESI仿宋-GB2312" w:eastAsia="CESI仿宋-GB2312" w:cs="CESI仿宋-GB2312"/>
          <w:sz w:val="24"/>
        </w:rPr>
        <w:t>。</w:t>
      </w:r>
    </w:p>
    <w:p>
      <w:pPr>
        <w:spacing w:line="500" w:lineRule="exact"/>
        <w:ind w:firstLine="480" w:firstLineChars="200"/>
        <w:rPr>
          <w:rFonts w:ascii="CESI仿宋-GB2312" w:hAnsi="CESI仿宋-GB2312" w:eastAsia="CESI仿宋-GB2312" w:cs="CESI仿宋-GB2312"/>
          <w:sz w:val="24"/>
        </w:rPr>
      </w:pPr>
      <w:r>
        <w:rPr>
          <w:rFonts w:hint="eastAsia" w:ascii="CESI仿宋-GB2312" w:hAnsi="CESI仿宋-GB2312" w:eastAsia="CESI仿宋-GB2312" w:cs="CESI仿宋-GB2312"/>
          <w:bCs/>
          <w:sz w:val="24"/>
        </w:rPr>
        <w:t>服务周期：</w:t>
      </w:r>
      <w:r>
        <w:rPr>
          <w:rFonts w:hint="eastAsia" w:ascii="CESI仿宋-GB2312" w:hAnsi="CESI仿宋-GB2312" w:eastAsia="CESI仿宋-GB2312" w:cs="CESI仿宋-GB2312"/>
          <w:bCs/>
          <w:sz w:val="24"/>
          <w:u w:val="single"/>
          <w:lang w:val="en-US" w:eastAsia="zh-CN"/>
        </w:rPr>
        <w:t>6</w:t>
      </w:r>
      <w:r>
        <w:rPr>
          <w:rFonts w:hint="eastAsia" w:ascii="CESI仿宋-GB2312" w:hAnsi="CESI仿宋-GB2312" w:eastAsia="CESI仿宋-GB2312" w:cs="CESI仿宋-GB2312"/>
          <w:bCs/>
          <w:sz w:val="24"/>
          <w:u w:val="single"/>
        </w:rPr>
        <w:t>0个工作日内完成廊坊市企业技术中心评审</w:t>
      </w:r>
      <w:r>
        <w:rPr>
          <w:rFonts w:hint="eastAsia" w:ascii="CESI仿宋-GB2312" w:hAnsi="CESI仿宋-GB2312" w:eastAsia="CESI仿宋-GB2312" w:cs="CESI仿宋-GB2312"/>
          <w:bCs/>
          <w:sz w:val="24"/>
        </w:rPr>
        <w:t>。</w:t>
      </w:r>
    </w:p>
    <w:p>
      <w:pPr>
        <w:spacing w:line="500" w:lineRule="exact"/>
        <w:ind w:firstLine="480" w:firstLineChars="200"/>
        <w:rPr>
          <w:rFonts w:ascii="CESI仿宋-GB2312" w:hAnsi="CESI仿宋-GB2312" w:eastAsia="CESI仿宋-GB2312" w:cs="CESI仿宋-GB2312"/>
          <w:sz w:val="24"/>
        </w:rPr>
      </w:pPr>
      <w:r>
        <w:rPr>
          <w:rFonts w:hint="eastAsia" w:ascii="CESI仿宋-GB2312" w:hAnsi="CESI仿宋-GB2312" w:eastAsia="CESI仿宋-GB2312" w:cs="CESI仿宋-GB2312"/>
          <w:sz w:val="24"/>
        </w:rPr>
        <w:t>技术要求：我单位所提供廊坊市企业技术中心评审充分体现国家、省、市有关工作要求。</w:t>
      </w:r>
    </w:p>
    <w:p>
      <w:pPr>
        <w:spacing w:line="500" w:lineRule="exact"/>
        <w:ind w:firstLine="480" w:firstLineChars="200"/>
        <w:rPr>
          <w:rFonts w:ascii="CESI仿宋-GB2312" w:hAnsi="CESI仿宋-GB2312" w:eastAsia="CESI仿宋-GB2312" w:cs="CESI仿宋-GB2312"/>
          <w:sz w:val="24"/>
        </w:rPr>
      </w:pPr>
      <w:r>
        <w:rPr>
          <w:rFonts w:hint="eastAsia" w:ascii="CESI仿宋-GB2312" w:hAnsi="CESI仿宋-GB2312" w:eastAsia="CESI仿宋-GB2312" w:cs="CESI仿宋-GB2312"/>
          <w:sz w:val="24"/>
        </w:rPr>
        <w:t>2）愿意参考《中华人民共和国合同法》等相关法律法规履行自己的责任和义务。</w:t>
      </w:r>
    </w:p>
    <w:p>
      <w:pPr>
        <w:spacing w:line="500" w:lineRule="exact"/>
        <w:ind w:firstLine="480" w:firstLineChars="200"/>
        <w:rPr>
          <w:rFonts w:ascii="CESI仿宋-GB2312" w:hAnsi="CESI仿宋-GB2312" w:eastAsia="CESI仿宋-GB2312" w:cs="CESI仿宋-GB2312"/>
          <w:sz w:val="24"/>
        </w:rPr>
      </w:pPr>
      <w:r>
        <w:rPr>
          <w:rFonts w:hint="eastAsia" w:ascii="CESI仿宋-GB2312" w:hAnsi="CESI仿宋-GB2312" w:eastAsia="CESI仿宋-GB2312" w:cs="CESI仿宋-GB2312"/>
          <w:sz w:val="24"/>
        </w:rPr>
        <w:t>3）如果我单位为成交供应商，我们将履行合同中规定的每一项要求和报价文件中的承诺，按期、按质、按量完成任务。</w:t>
      </w:r>
    </w:p>
    <w:p>
      <w:pPr>
        <w:spacing w:line="500" w:lineRule="exact"/>
        <w:ind w:firstLine="480" w:firstLineChars="200"/>
        <w:rPr>
          <w:rFonts w:ascii="CESI仿宋-GB2312" w:hAnsi="CESI仿宋-GB2312" w:eastAsia="CESI仿宋-GB2312" w:cs="CESI仿宋-GB2312"/>
          <w:sz w:val="24"/>
        </w:rPr>
      </w:pPr>
      <w:r>
        <w:rPr>
          <w:rFonts w:hint="eastAsia" w:ascii="CESI仿宋-GB2312" w:hAnsi="CESI仿宋-GB2312" w:eastAsia="CESI仿宋-GB2312" w:cs="CESI仿宋-GB2312"/>
          <w:sz w:val="24"/>
        </w:rPr>
        <w:t>4）我们愿意提供采购人在</w:t>
      </w:r>
      <w:r>
        <w:rPr>
          <w:rFonts w:hint="eastAsia" w:ascii="CESI仿宋-GB2312" w:hAnsi="CESI仿宋-GB2312" w:eastAsia="CESI仿宋-GB2312" w:cs="CESI仿宋-GB2312"/>
          <w:sz w:val="24"/>
          <w:lang w:eastAsia="zh-CN"/>
        </w:rPr>
        <w:t>公告</w:t>
      </w:r>
      <w:r>
        <w:rPr>
          <w:rFonts w:hint="eastAsia" w:ascii="CESI仿宋-GB2312" w:hAnsi="CESI仿宋-GB2312" w:eastAsia="CESI仿宋-GB2312" w:cs="CESI仿宋-GB2312"/>
          <w:sz w:val="24"/>
        </w:rPr>
        <w:t>中要求的所有资料。</w:t>
      </w:r>
    </w:p>
    <w:p>
      <w:pPr>
        <w:spacing w:line="500" w:lineRule="exact"/>
        <w:ind w:firstLine="480" w:firstLineChars="200"/>
        <w:rPr>
          <w:rFonts w:ascii="CESI仿宋-GB2312" w:hAnsi="CESI仿宋-GB2312" w:eastAsia="CESI仿宋-GB2312" w:cs="CESI仿宋-GB2312"/>
          <w:sz w:val="24"/>
        </w:rPr>
      </w:pPr>
      <w:r>
        <w:rPr>
          <w:rFonts w:hint="eastAsia" w:ascii="CESI仿宋-GB2312" w:hAnsi="CESI仿宋-GB2312" w:eastAsia="CESI仿宋-GB2312" w:cs="CESI仿宋-GB2312"/>
          <w:sz w:val="24"/>
        </w:rPr>
        <w:t>5）我方的报价文件有效期为：报价截止后30天。</w:t>
      </w:r>
    </w:p>
    <w:p>
      <w:pPr>
        <w:pStyle w:val="13"/>
        <w:spacing w:after="0" w:line="500" w:lineRule="exact"/>
        <w:ind w:firstLine="480" w:firstLineChars="200"/>
        <w:rPr>
          <w:rFonts w:ascii="CESI仿宋-GB2312" w:hAnsi="CESI仿宋-GB2312" w:eastAsia="CESI仿宋-GB2312" w:cs="CESI仿宋-GB2312"/>
          <w:sz w:val="24"/>
        </w:rPr>
      </w:pPr>
      <w:r>
        <w:rPr>
          <w:rFonts w:hint="eastAsia" w:ascii="CESI仿宋-GB2312" w:hAnsi="CESI仿宋-GB2312" w:eastAsia="CESI仿宋-GB2312" w:cs="CESI仿宋-GB2312"/>
          <w:sz w:val="24"/>
        </w:rPr>
        <w:t>6）我单位保证所提供文件资料的真实性和准确性。</w:t>
      </w:r>
    </w:p>
    <w:p>
      <w:pPr>
        <w:pStyle w:val="13"/>
        <w:spacing w:after="0" w:line="580" w:lineRule="exact"/>
        <w:ind w:left="640"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eastAsia="仿宋" w:cs="Times New Roman"/>
          <w:sz w:val="24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eastAsia="仿宋" w:cs="Times New Roman"/>
          <w:sz w:val="24"/>
        </w:rPr>
      </w:pPr>
      <w:r>
        <w:rPr>
          <w:rFonts w:ascii="Times New Roman" w:hAnsi="Times New Roman" w:eastAsia="仿宋" w:cs="Times New Roman"/>
          <w:sz w:val="24"/>
        </w:rPr>
        <w:t xml:space="preserve">                         </w:t>
      </w:r>
      <w:r>
        <w:rPr>
          <w:rFonts w:hint="eastAsia" w:ascii="Times New Roman" w:hAnsi="Times New Roman" w:eastAsia="仿宋" w:cs="Times New Roman"/>
          <w:sz w:val="24"/>
        </w:rPr>
        <w:t xml:space="preserve">    </w:t>
      </w:r>
      <w:r>
        <w:rPr>
          <w:rFonts w:ascii="Times New Roman" w:hAnsi="Times New Roman" w:eastAsia="仿宋" w:cs="Times New Roman"/>
          <w:sz w:val="24"/>
        </w:rPr>
        <w:t xml:space="preserve"> 供应商：（公章） </w:t>
      </w:r>
    </w:p>
    <w:p>
      <w:pPr>
        <w:adjustRightInd w:val="0"/>
        <w:snapToGrid w:val="0"/>
        <w:spacing w:line="360" w:lineRule="auto"/>
        <w:rPr>
          <w:rFonts w:ascii="Times New Roman" w:hAnsi="Times New Roman" w:eastAsia="仿宋" w:cs="Times New Roman"/>
          <w:sz w:val="24"/>
        </w:rPr>
      </w:pPr>
      <w:r>
        <w:rPr>
          <w:rFonts w:hint="eastAsia" w:ascii="Times New Roman" w:hAnsi="Times New Roman" w:eastAsia="仿宋" w:cs="Times New Roman"/>
          <w:sz w:val="24"/>
          <w:lang w:val="en-US" w:eastAsia="zh-CN"/>
        </w:rPr>
        <w:t xml:space="preserve">                              法定代表人签字：</w:t>
      </w:r>
      <w:r>
        <w:rPr>
          <w:rFonts w:ascii="Times New Roman" w:hAnsi="Times New Roman" w:eastAsia="仿宋" w:cs="Times New Roman"/>
          <w:sz w:val="24"/>
        </w:rPr>
        <w:t xml:space="preserve">            </w:t>
      </w:r>
    </w:p>
    <w:p>
      <w:pPr>
        <w:adjustRightInd w:val="0"/>
        <w:snapToGrid w:val="0"/>
        <w:spacing w:line="360" w:lineRule="auto"/>
        <w:ind w:firstLine="360" w:firstLineChars="150"/>
        <w:rPr>
          <w:rFonts w:ascii="Times New Roman" w:hAnsi="Times New Roman" w:eastAsia="仿宋" w:cs="Times New Roman"/>
          <w:sz w:val="24"/>
          <w:u w:val="single"/>
        </w:rPr>
      </w:pPr>
    </w:p>
    <w:p>
      <w:pPr>
        <w:adjustRightInd w:val="0"/>
        <w:snapToGrid w:val="0"/>
        <w:spacing w:line="360" w:lineRule="auto"/>
        <w:ind w:firstLine="5160" w:firstLineChars="2150"/>
        <w:rPr>
          <w:rFonts w:ascii="Times New Roman" w:hAnsi="Times New Roman" w:eastAsia="仿宋" w:cs="Times New Roman"/>
          <w:sz w:val="24"/>
        </w:rPr>
      </w:pPr>
      <w:r>
        <w:rPr>
          <w:rFonts w:ascii="Times New Roman" w:hAnsi="Times New Roman" w:eastAsia="仿宋" w:cs="Times New Roman"/>
          <w:sz w:val="24"/>
        </w:rPr>
        <w:t>年</w:t>
      </w:r>
      <w:r>
        <w:rPr>
          <w:rFonts w:hint="eastAsia" w:ascii="Times New Roman" w:hAnsi="Times New Roman" w:eastAsia="仿宋" w:cs="Times New Roman"/>
          <w:sz w:val="24"/>
        </w:rPr>
        <w:t xml:space="preserve">      </w:t>
      </w:r>
      <w:r>
        <w:rPr>
          <w:rFonts w:ascii="Times New Roman" w:hAnsi="Times New Roman" w:eastAsia="仿宋" w:cs="Times New Roman"/>
          <w:sz w:val="24"/>
        </w:rPr>
        <w:t>月</w:t>
      </w:r>
      <w:r>
        <w:rPr>
          <w:rFonts w:hint="eastAsia" w:ascii="Times New Roman" w:hAnsi="Times New Roman" w:eastAsia="仿宋" w:cs="Times New Roman"/>
          <w:sz w:val="24"/>
          <w:lang w:val="en-US" w:eastAsia="zh-CN"/>
        </w:rPr>
        <w:t xml:space="preserve"> </w:t>
      </w:r>
      <w:r>
        <w:rPr>
          <w:rFonts w:hint="eastAsia" w:ascii="Times New Roman" w:hAnsi="Times New Roman" w:eastAsia="仿宋" w:cs="Times New Roman"/>
          <w:sz w:val="24"/>
        </w:rPr>
        <w:t xml:space="preserve">    </w:t>
      </w:r>
      <w:r>
        <w:rPr>
          <w:rFonts w:ascii="Times New Roman" w:hAnsi="Times New Roman" w:eastAsia="仿宋" w:cs="Times New Roman"/>
          <w:sz w:val="24"/>
        </w:rPr>
        <w:t>日</w:t>
      </w:r>
    </w:p>
    <w:p>
      <w:pPr>
        <w:pStyle w:val="13"/>
        <w:spacing w:after="0" w:line="580" w:lineRule="exact"/>
        <w:ind w:left="640"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,Bold">
    <w:altName w:val="DejaVu Sans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lJLUwIAIAADcEAAAOAAAAZHJz&#10;L2Uyb0RvYy54bWytU0uOEzEQ3SNxB8t70kkQoyhKZxRmFIQUMSMNiLXjttMt+SfbSXc4ANyAFRv2&#10;nCvn4NnpThCwQmzsKle5fu/V4rbTihyED401JZ2MxpQIw23VmF1JP7xfv5hREiIzFVPWiJIeRaC3&#10;y+fPFq2bi6mtraqEJwhiwrx1Ja1jdPOiCLwWmoWRdcLAKK3XLEL1u6LyrEV0rYrpeHxTtNZXzlsu&#10;QsDr/dlIlzm+lILHBymDiESVFLXFfPp8btNZLBdsvvPM1Q3vy2D/UIVmjUHSS6h7FhnZ++aPULrh&#10;3gYr44hbXVgpGy5yD+hmMv6tm6eaOZF7wXCCu4wp/L+w/N3h0ZOmAnaUGKYB0enrl9O3H6fvn8kk&#10;jad1YQ6vJwe/2L22XUmj34vBFPCeGu+k1+lGSwQumPXxMl/RRcLxOJlNZ7MxTBy2QUGK4vrd+RDf&#10;CKtJEkrqAWCeKztsQjy7Di4pm7HrRqkMojKkLenNy1fj/OFiQXBlkq/IdOjDpK7OpScpdtuub3Vr&#10;qyM69fZMleD4ukEpGxbiI/PgBsoH3+MDDqksUtpeoqS2/tPf3pM/IIOVkhZcK6nBMlCi3hpAmWg5&#10;CH4QtoNg9vrOgryAB7VkER98VIMovdUfsQSrlEMyFRCYGY5sAGoQ7yK03ohl4mK1uuh755tdff0M&#10;YjoWN+bJ8R7qNL3gVvuIaWcQ0szOgwJ4SQE7M4z9JiX6/6pnr+u+L3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FgAAAGRycy9QSwECFAAU&#10;AAAACACHTuJAs0lY7tAAAAAFAQAADwAAAAAAAAABACAAAAA4AAAAZHJzL2Rvd25yZXYueG1sUEsB&#10;AhQAFAAAAAgAh07iQGUktTAgAgAANwQAAA4AAAAAAAAAAQAgAAAANQ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7E0375"/>
    <w:multiLevelType w:val="multilevel"/>
    <w:tmpl w:val="137E0375"/>
    <w:lvl w:ilvl="0" w:tentative="0">
      <w:start w:val="1"/>
      <w:numFmt w:val="upperRoman"/>
      <w:pStyle w:val="2"/>
      <w:lvlText w:val="第 %1 条"/>
      <w:lvlJc w:val="left"/>
      <w:pPr>
        <w:tabs>
          <w:tab w:val="left" w:pos="1440"/>
        </w:tabs>
        <w:ind w:left="0" w:firstLine="0"/>
      </w:pPr>
    </w:lvl>
    <w:lvl w:ilvl="1" w:tentative="0">
      <w:start w:val="1"/>
      <w:numFmt w:val="decimalZero"/>
      <w:isLgl/>
      <w:lvlText w:val="节 %1.%2"/>
      <w:lvlJc w:val="left"/>
      <w:pPr>
        <w:tabs>
          <w:tab w:val="left" w:pos="720"/>
        </w:tabs>
        <w:ind w:left="0" w:firstLine="0"/>
      </w:pPr>
    </w:lvl>
    <w:lvl w:ilvl="2" w:tentative="0">
      <w:start w:val="1"/>
      <w:numFmt w:val="lowerLetter"/>
      <w:lvlText w:val="(%3)"/>
      <w:lvlJc w:val="left"/>
      <w:pPr>
        <w:tabs>
          <w:tab w:val="left" w:pos="720"/>
        </w:tabs>
        <w:ind w:left="720" w:hanging="432"/>
      </w:pPr>
    </w:lvl>
    <w:lvl w:ilvl="3" w:tentative="0">
      <w:start w:val="1"/>
      <w:numFmt w:val="lowerRoman"/>
      <w:lvlText w:val="(%4)"/>
      <w:lvlJc w:val="right"/>
      <w:pPr>
        <w:tabs>
          <w:tab w:val="left" w:pos="864"/>
        </w:tabs>
        <w:ind w:left="864" w:hanging="144"/>
      </w:pPr>
    </w:lvl>
    <w:lvl w:ilvl="4" w:tentative="0">
      <w:start w:val="1"/>
      <w:numFmt w:val="decimal"/>
      <w:lvlText w:val="%5)"/>
      <w:lvlJc w:val="left"/>
      <w:pPr>
        <w:tabs>
          <w:tab w:val="left" w:pos="1008"/>
        </w:tabs>
        <w:ind w:left="1008" w:hanging="432"/>
      </w:pPr>
    </w:lvl>
    <w:lvl w:ilvl="5" w:tentative="0">
      <w:start w:val="1"/>
      <w:numFmt w:val="lowerLetter"/>
      <w:lvlText w:val="%6)"/>
      <w:lvlJc w:val="left"/>
      <w:pPr>
        <w:tabs>
          <w:tab w:val="left" w:pos="1152"/>
        </w:tabs>
        <w:ind w:left="1152" w:hanging="432"/>
      </w:pPr>
    </w:lvl>
    <w:lvl w:ilvl="6" w:tentative="0">
      <w:start w:val="1"/>
      <w:numFmt w:val="lowerRoman"/>
      <w:lvlText w:val="%7)"/>
      <w:lvlJc w:val="right"/>
      <w:pPr>
        <w:tabs>
          <w:tab w:val="left" w:pos="1296"/>
        </w:tabs>
        <w:ind w:left="1296" w:hanging="288"/>
      </w:pPr>
    </w:lvl>
    <w:lvl w:ilvl="7" w:tentative="0">
      <w:start w:val="1"/>
      <w:numFmt w:val="lowerLetter"/>
      <w:lvlText w:val="%8."/>
      <w:lvlJc w:val="left"/>
      <w:pPr>
        <w:tabs>
          <w:tab w:val="left" w:pos="1440"/>
        </w:tabs>
        <w:ind w:left="1440" w:hanging="432"/>
      </w:pPr>
    </w:lvl>
    <w:lvl w:ilvl="8" w:tentative="0">
      <w:start w:val="1"/>
      <w:numFmt w:val="lowerRoman"/>
      <w:lvlText w:val="%9."/>
      <w:lvlJc w:val="right"/>
      <w:pPr>
        <w:tabs>
          <w:tab w:val="left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0N2IyOGUxOGU3MTQ5NWMxODBkMjFmNzgyMDYxZjcifQ=="/>
  </w:docVars>
  <w:rsids>
    <w:rsidRoot w:val="08146041"/>
    <w:rsid w:val="0016406B"/>
    <w:rsid w:val="001E4F27"/>
    <w:rsid w:val="00233CD0"/>
    <w:rsid w:val="00234620"/>
    <w:rsid w:val="0023798A"/>
    <w:rsid w:val="00245DC5"/>
    <w:rsid w:val="002E1F26"/>
    <w:rsid w:val="00327546"/>
    <w:rsid w:val="004672B4"/>
    <w:rsid w:val="00574183"/>
    <w:rsid w:val="00664FFE"/>
    <w:rsid w:val="0068524B"/>
    <w:rsid w:val="007279CB"/>
    <w:rsid w:val="00784546"/>
    <w:rsid w:val="008C2DEB"/>
    <w:rsid w:val="008E5832"/>
    <w:rsid w:val="00993812"/>
    <w:rsid w:val="009C00B9"/>
    <w:rsid w:val="00AC060B"/>
    <w:rsid w:val="00CE3110"/>
    <w:rsid w:val="00DB5468"/>
    <w:rsid w:val="00F01566"/>
    <w:rsid w:val="00FF1637"/>
    <w:rsid w:val="08146041"/>
    <w:rsid w:val="16565E3B"/>
    <w:rsid w:val="2F5F0E93"/>
    <w:rsid w:val="38F71AA0"/>
    <w:rsid w:val="3DBF567E"/>
    <w:rsid w:val="3FDCF09E"/>
    <w:rsid w:val="42E708B7"/>
    <w:rsid w:val="4EF610A7"/>
    <w:rsid w:val="5F0E7FE5"/>
    <w:rsid w:val="607E08C0"/>
    <w:rsid w:val="66B96596"/>
    <w:rsid w:val="69FE2932"/>
    <w:rsid w:val="6C97154C"/>
    <w:rsid w:val="77CFD930"/>
    <w:rsid w:val="77FF1B00"/>
    <w:rsid w:val="7CFEACCE"/>
    <w:rsid w:val="7DDB4960"/>
    <w:rsid w:val="7F7AEF1C"/>
    <w:rsid w:val="7FCFBE3D"/>
    <w:rsid w:val="B8B5E64C"/>
    <w:rsid w:val="BBE76FCB"/>
    <w:rsid w:val="BFF60AD4"/>
    <w:rsid w:val="C6F98A1D"/>
    <w:rsid w:val="D55FB508"/>
    <w:rsid w:val="DF37C992"/>
    <w:rsid w:val="DF5B2FBA"/>
    <w:rsid w:val="DFFE0624"/>
    <w:rsid w:val="E7BF8D99"/>
    <w:rsid w:val="FBBF011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index 8"/>
    <w:basedOn w:val="1"/>
    <w:next w:val="1"/>
    <w:qFormat/>
    <w:uiPriority w:val="0"/>
    <w:pPr>
      <w:ind w:left="2940"/>
    </w:pPr>
  </w:style>
  <w:style w:type="paragraph" w:styleId="5">
    <w:name w:val="Body Text"/>
    <w:basedOn w:val="1"/>
    <w:next w:val="6"/>
    <w:qFormat/>
    <w:uiPriority w:val="0"/>
    <w:pPr>
      <w:tabs>
        <w:tab w:val="left" w:pos="562"/>
        <w:tab w:val="left" w:pos="3372"/>
        <w:tab w:val="left" w:pos="3653"/>
      </w:tabs>
    </w:pPr>
    <w:rPr>
      <w:sz w:val="24"/>
    </w:rPr>
  </w:style>
  <w:style w:type="paragraph" w:customStyle="1" w:styleId="6">
    <w:name w:val="Default"/>
    <w:next w:val="7"/>
    <w:qFormat/>
    <w:uiPriority w:val="0"/>
    <w:pPr>
      <w:widowControl w:val="0"/>
      <w:autoSpaceDE w:val="0"/>
      <w:autoSpaceDN w:val="0"/>
      <w:adjustRightInd w:val="0"/>
    </w:pPr>
    <w:rPr>
      <w:rFonts w:ascii="Arial,Bold" w:hAnsi="Arial,Bold" w:eastAsia="宋体" w:cs="Arial,Bold"/>
      <w:lang w:val="en-US" w:eastAsia="en-US" w:bidi="ar-SA"/>
    </w:rPr>
  </w:style>
  <w:style w:type="paragraph" w:styleId="7">
    <w:name w:val="footnote text"/>
    <w:basedOn w:val="1"/>
    <w:qFormat/>
    <w:uiPriority w:val="0"/>
    <w:pPr>
      <w:adjustRightInd w:val="0"/>
      <w:spacing w:line="312" w:lineRule="atLeast"/>
      <w:jc w:val="left"/>
      <w:textAlignment w:val="baseline"/>
    </w:pPr>
    <w:rPr>
      <w:kern w:val="0"/>
      <w:sz w:val="18"/>
    </w:rPr>
  </w:style>
  <w:style w:type="paragraph" w:styleId="8">
    <w:name w:val="Plain Text"/>
    <w:basedOn w:val="1"/>
    <w:next w:val="9"/>
    <w:qFormat/>
    <w:uiPriority w:val="0"/>
    <w:rPr>
      <w:rFonts w:ascii="宋体" w:hAnsi="Courier New"/>
    </w:rPr>
  </w:style>
  <w:style w:type="paragraph" w:customStyle="1" w:styleId="9">
    <w:name w:val="List Paragraph1"/>
    <w:next w:val="4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黑体" w:cs="Times New Roman"/>
      <w:kern w:val="2"/>
      <w:sz w:val="21"/>
      <w:szCs w:val="22"/>
      <w:lang w:val="en-US" w:eastAsia="zh-CN" w:bidi="ar-SA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next w:val="5"/>
    <w:qFormat/>
    <w:uiPriority w:val="99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12">
    <w:name w:val="toc 2"/>
    <w:basedOn w:val="1"/>
    <w:next w:val="1"/>
    <w:semiHidden/>
    <w:qFormat/>
    <w:uiPriority w:val="0"/>
    <w:pPr>
      <w:ind w:left="420" w:leftChars="200"/>
    </w:pPr>
  </w:style>
  <w:style w:type="paragraph" w:styleId="13">
    <w:name w:val="Body Text First Indent"/>
    <w:basedOn w:val="5"/>
    <w:qFormat/>
    <w:uiPriority w:val="0"/>
    <w:pPr>
      <w:spacing w:after="120"/>
      <w:ind w:firstLine="420" w:firstLineChars="100"/>
    </w:pPr>
    <w:rPr>
      <w:sz w:val="21"/>
    </w:rPr>
  </w:style>
  <w:style w:type="paragraph" w:styleId="16">
    <w:name w:val="Quote"/>
    <w:basedOn w:val="1"/>
    <w:next w:val="1"/>
    <w:qFormat/>
    <w:uiPriority w:val="0"/>
    <w:pPr>
      <w:wordWrap w:val="0"/>
      <w:spacing w:before="200" w:after="160"/>
      <w:ind w:left="864" w:right="864"/>
      <w:jc w:val="center"/>
    </w:pPr>
    <w:rPr>
      <w:i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258</Words>
  <Characters>1473</Characters>
  <Lines>12</Lines>
  <Paragraphs>3</Paragraphs>
  <TotalTime>415</TotalTime>
  <ScaleCrop>false</ScaleCrop>
  <LinksUpToDate>false</LinksUpToDate>
  <CharactersWithSpaces>1728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2022-10-19T08:28:00Z</dcterms:created>
  <dc:creator>Admin</dc:creator>
  <cp:lastModifiedBy>user</cp:lastModifiedBy>
  <cp:lastPrinted>2022-10-24T16:58:39Z</cp:lastPrinted>
  <dcterms:modified xsi:type="dcterms:W3CDTF">2022-10-24T18:43:13Z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5B51CC8077154CAD9619D6D4EAFABFA6</vt:lpwstr>
  </property>
</Properties>
</file>