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4" w:lineRule="exact"/>
        <w:ind w:firstLine="880" w:firstLineChars="200"/>
        <w:jc w:val="center"/>
        <w:rPr>
          <w:rFonts w:ascii="Times New Roman" w:hAnsi="Times New Roman" w:eastAsia="仿宋_GB2312" w:cs="Times New Roman"/>
          <w:sz w:val="44"/>
          <w:szCs w:val="44"/>
        </w:rPr>
      </w:pPr>
    </w:p>
    <w:p>
      <w:pPr>
        <w:spacing w:line="584" w:lineRule="exact"/>
        <w:ind w:firstLine="880" w:firstLineChars="200"/>
        <w:jc w:val="center"/>
        <w:rPr>
          <w:rFonts w:ascii="Times New Roman" w:hAnsi="Times New Roman" w:eastAsia="仿宋_GB2312" w:cs="Times New Roman"/>
          <w:sz w:val="44"/>
          <w:szCs w:val="44"/>
        </w:rPr>
      </w:pPr>
    </w:p>
    <w:p>
      <w:pPr>
        <w:spacing w:line="584" w:lineRule="exact"/>
        <w:ind w:firstLine="880" w:firstLineChars="200"/>
        <w:jc w:val="center"/>
        <w:rPr>
          <w:rFonts w:hint="eastAsia" w:ascii="黑体" w:hAnsi="黑体" w:eastAsia="黑体" w:cs="黑体"/>
          <w:sz w:val="44"/>
          <w:szCs w:val="44"/>
        </w:rPr>
      </w:pPr>
      <w:r>
        <w:rPr>
          <w:rFonts w:hint="eastAsia" w:ascii="黑体" w:hAnsi="黑体" w:eastAsia="黑体" w:cs="黑体"/>
          <w:sz w:val="44"/>
          <w:szCs w:val="44"/>
          <w:lang w:eastAsia="zh-CN"/>
        </w:rPr>
        <w:t>廊坊市发展和改革委员会</w:t>
      </w:r>
      <w:r>
        <w:rPr>
          <w:rFonts w:hint="eastAsia" w:ascii="黑体" w:hAnsi="黑体" w:eastAsia="黑体" w:cs="黑体"/>
          <w:sz w:val="44"/>
          <w:szCs w:val="44"/>
        </w:rPr>
        <w:t>2021年部门预算信息公开情况说明</w:t>
      </w:r>
    </w:p>
    <w:p>
      <w:pPr>
        <w:spacing w:line="584" w:lineRule="exact"/>
        <w:ind w:firstLine="880" w:firstLineChars="200"/>
        <w:jc w:val="center"/>
        <w:rPr>
          <w:rFonts w:ascii="Times New Roman" w:hAnsi="Times New Roman" w:eastAsia="仿宋_GB2312" w:cs="Times New Roman"/>
          <w:sz w:val="44"/>
          <w:szCs w:val="44"/>
        </w:rPr>
      </w:pP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按照《中华人民共和国预算法》、《中华人民共和国预算法实施条例》、《地方预决算公开操作规程》和《河北省省级预算公开办法》规定，现将</w:t>
      </w:r>
      <w:r>
        <w:rPr>
          <w:rFonts w:hint="eastAsia" w:ascii="仿宋_GB2312" w:hAnsi="仿宋_GB2312" w:eastAsia="仿宋_GB2312" w:cs="仿宋_GB2312"/>
          <w:sz w:val="32"/>
          <w:szCs w:val="32"/>
          <w:lang w:eastAsia="zh-CN"/>
        </w:rPr>
        <w:t>廊坊市发展和改革委员会</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21</w:t>
      </w:r>
      <w:r>
        <w:rPr>
          <w:rFonts w:ascii="Times New Roman" w:hAnsi="Times New Roman" w:eastAsia="仿宋_GB2312" w:cs="Times New Roman"/>
          <w:sz w:val="32"/>
          <w:szCs w:val="32"/>
        </w:rPr>
        <w:t>年部门预算公开如下：</w:t>
      </w:r>
    </w:p>
    <w:p>
      <w:pPr>
        <w:spacing w:line="58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一、部门职责及机构设置情况</w:t>
      </w:r>
    </w:p>
    <w:p>
      <w:pPr>
        <w:spacing w:line="584" w:lineRule="exact"/>
        <w:ind w:firstLine="643" w:firstLineChars="200"/>
        <w:rPr>
          <w:rFonts w:ascii="Times New Roman" w:hAnsi="Times New Roman" w:eastAsia="楷体_GB2312" w:cs="Times New Roman"/>
          <w:b/>
          <w:sz w:val="32"/>
          <w:szCs w:val="32"/>
        </w:rPr>
      </w:pPr>
      <w:r>
        <w:rPr>
          <w:rFonts w:ascii="Times New Roman" w:hAnsi="Times New Roman" w:eastAsia="楷体_GB2312" w:cs="Times New Roman"/>
          <w:b/>
          <w:sz w:val="32"/>
          <w:szCs w:val="32"/>
        </w:rPr>
        <w:t>部门职责：</w:t>
      </w:r>
    </w:p>
    <w:p>
      <w:pPr>
        <w:spacing w:line="500" w:lineRule="exact"/>
        <w:ind w:firstLine="560" w:firstLineChars="200"/>
        <w:jc w:val="left"/>
        <w:rPr>
          <w:rFonts w:hint="eastAsia" w:ascii="仿宋" w:hAnsi="仿宋" w:eastAsia="仿宋" w:cs="仿宋"/>
          <w:b w:val="0"/>
          <w:bCs w:val="0"/>
          <w:sz w:val="28"/>
        </w:rPr>
      </w:pPr>
      <w:r>
        <w:rPr>
          <w:rFonts w:hint="eastAsia" w:ascii="仿宋" w:hAnsi="仿宋" w:eastAsia="仿宋" w:cs="仿宋"/>
          <w:b w:val="0"/>
          <w:bCs w:val="0"/>
          <w:sz w:val="28"/>
        </w:rPr>
        <w:t>根据《廊坊市发展和改革委员会职能配置、内设机构和人员编制规定》,廊坊市发展和改革委员会的主要职责是:</w:t>
      </w:r>
    </w:p>
    <w:p>
      <w:pPr>
        <w:spacing w:line="500" w:lineRule="exact"/>
        <w:ind w:firstLine="560" w:firstLineChars="200"/>
        <w:jc w:val="left"/>
        <w:rPr>
          <w:rFonts w:hint="eastAsia" w:ascii="仿宋" w:hAnsi="仿宋" w:eastAsia="仿宋" w:cs="仿宋"/>
          <w:b w:val="0"/>
          <w:bCs w:val="0"/>
          <w:sz w:val="28"/>
          <w:lang w:eastAsia="zh-CN"/>
        </w:rPr>
      </w:pPr>
      <w:r>
        <w:rPr>
          <w:rFonts w:hint="eastAsia" w:ascii="仿宋" w:hAnsi="仿宋" w:eastAsia="仿宋" w:cs="仿宋"/>
          <w:b w:val="0"/>
          <w:bCs w:val="0"/>
          <w:sz w:val="28"/>
        </w:rPr>
        <w:t>一、拟订并组织实施全市国民经济和社会发展战略、中长期规划和年度计划。牵头组织统一规划体系建设。负责市级专项规划、区域规划、空间规划与上下级发展规划的统筹衔接。拟订规范性文件</w:t>
      </w:r>
      <w:r>
        <w:rPr>
          <w:rFonts w:hint="eastAsia" w:ascii="仿宋" w:hAnsi="仿宋" w:eastAsia="仿宋" w:cs="仿宋"/>
          <w:b w:val="0"/>
          <w:bCs w:val="0"/>
          <w:sz w:val="28"/>
          <w:lang w:eastAsia="zh-CN"/>
        </w:rPr>
        <w:t>。</w:t>
      </w:r>
    </w:p>
    <w:p>
      <w:pPr>
        <w:spacing w:line="500" w:lineRule="exact"/>
        <w:ind w:firstLine="560" w:firstLineChars="200"/>
        <w:jc w:val="left"/>
        <w:rPr>
          <w:rFonts w:hint="eastAsia" w:ascii="仿宋" w:hAnsi="仿宋" w:eastAsia="仿宋" w:cs="仿宋"/>
          <w:b w:val="0"/>
          <w:bCs w:val="0"/>
          <w:sz w:val="28"/>
          <w:lang w:eastAsia="zh-CN"/>
        </w:rPr>
      </w:pPr>
      <w:r>
        <w:rPr>
          <w:rFonts w:hint="eastAsia" w:ascii="仿宋" w:hAnsi="仿宋" w:eastAsia="仿宋" w:cs="仿宋"/>
          <w:b w:val="0"/>
          <w:bCs w:val="0"/>
          <w:sz w:val="28"/>
        </w:rPr>
        <w:t>二、提出加快建设全市现代化经济体系、推动高质量发展的总体目标、重大任务以及相关政策。组织开展重大战略规划、重大政策、重大工程等的评估督导,提出相关调整建议</w:t>
      </w:r>
      <w:r>
        <w:rPr>
          <w:rFonts w:hint="eastAsia" w:ascii="仿宋" w:hAnsi="仿宋" w:eastAsia="仿宋" w:cs="仿宋"/>
          <w:b w:val="0"/>
          <w:bCs w:val="0"/>
          <w:sz w:val="28"/>
          <w:lang w:eastAsia="zh-CN"/>
        </w:rPr>
        <w:t>。</w:t>
      </w:r>
    </w:p>
    <w:p>
      <w:pPr>
        <w:spacing w:line="500" w:lineRule="exact"/>
        <w:ind w:firstLine="560" w:firstLineChars="200"/>
        <w:jc w:val="left"/>
        <w:rPr>
          <w:rFonts w:hint="eastAsia" w:ascii="仿宋" w:hAnsi="仿宋" w:eastAsia="仿宋" w:cs="仿宋"/>
          <w:b w:val="0"/>
          <w:bCs w:val="0"/>
          <w:sz w:val="28"/>
          <w:lang w:eastAsia="zh-CN"/>
        </w:rPr>
      </w:pPr>
      <w:r>
        <w:rPr>
          <w:rFonts w:hint="eastAsia" w:ascii="仿宋" w:hAnsi="仿宋" w:eastAsia="仿宋" w:cs="仿宋"/>
          <w:b w:val="0"/>
          <w:bCs w:val="0"/>
          <w:sz w:val="28"/>
        </w:rPr>
        <w:t>三、贯彻落实国家宏观调控政策,统筹提出全市国民经济和社会发展主要目标,监测预测预警宏观经济和社会发展态势趋势,提出经济调节政策建议。综合协调经济调节政策,牵头研究应对措施调节经济运行,协调解决经济运行中的重大问题。拟订并组织实施有关价格政策,组织拟订由市级管理的重要商品、服务价格和重要收费标准。参与贯彻落实国家财政政策、货币政策和土地政策</w:t>
      </w:r>
      <w:r>
        <w:rPr>
          <w:rFonts w:hint="eastAsia" w:ascii="仿宋" w:hAnsi="仿宋" w:eastAsia="仿宋" w:cs="仿宋"/>
          <w:b w:val="0"/>
          <w:bCs w:val="0"/>
          <w:sz w:val="28"/>
          <w:lang w:eastAsia="zh-CN"/>
        </w:rPr>
        <w:t>。</w:t>
      </w:r>
    </w:p>
    <w:p>
      <w:pPr>
        <w:spacing w:line="500" w:lineRule="exact"/>
        <w:ind w:firstLine="560" w:firstLineChars="200"/>
        <w:jc w:val="left"/>
        <w:rPr>
          <w:rFonts w:hint="eastAsia" w:ascii="仿宋" w:hAnsi="仿宋" w:eastAsia="仿宋" w:cs="仿宋"/>
          <w:b w:val="0"/>
          <w:bCs w:val="0"/>
          <w:sz w:val="28"/>
        </w:rPr>
      </w:pPr>
      <w:r>
        <w:rPr>
          <w:rFonts w:hint="eastAsia" w:ascii="仿宋" w:hAnsi="仿宋" w:eastAsia="仿宋" w:cs="仿宋"/>
          <w:b w:val="0"/>
          <w:bCs w:val="0"/>
          <w:sz w:val="28"/>
        </w:rPr>
        <w:t>四、指导推进和综合协调经济体制改革有关工作,提出相关改革建议。牵头推进供给侧结构性改革。协调推进产权制度和要素市场化配置改革。落实国家完善基本经济制度政策,推进现代化市场体系建设,会同有关部门组织实施市场准入负面清单制度。牵头推进优化营商环境工作。</w:t>
      </w:r>
    </w:p>
    <w:p>
      <w:pPr>
        <w:spacing w:line="500" w:lineRule="exact"/>
        <w:ind w:firstLine="560" w:firstLineChars="200"/>
        <w:jc w:val="left"/>
        <w:rPr>
          <w:rFonts w:hint="eastAsia" w:ascii="仿宋" w:hAnsi="仿宋" w:eastAsia="仿宋" w:cs="仿宋"/>
          <w:b w:val="0"/>
          <w:bCs w:val="0"/>
          <w:sz w:val="28"/>
        </w:rPr>
      </w:pPr>
      <w:r>
        <w:rPr>
          <w:rFonts w:hint="eastAsia" w:ascii="仿宋" w:hAnsi="仿宋" w:eastAsia="仿宋" w:cs="仿宋"/>
          <w:b w:val="0"/>
          <w:bCs w:val="0"/>
          <w:sz w:val="28"/>
        </w:rPr>
        <w:t>五、提出全市利用外资和境外投资的战略、规划、总量平衡和结构优化政策。牵头推进实施全市“一带一路”建设有关工作。承担统筹协调走出去有关工作。会同有关部门贯彻落实国家外商投资准入负面清单。负责全市全口径外债的总量控制、结构优化和监测工作。</w:t>
      </w:r>
    </w:p>
    <w:p>
      <w:pPr>
        <w:spacing w:line="500" w:lineRule="exact"/>
        <w:ind w:firstLine="560" w:firstLineChars="200"/>
        <w:jc w:val="left"/>
        <w:rPr>
          <w:rFonts w:hint="eastAsia" w:ascii="仿宋" w:hAnsi="仿宋" w:eastAsia="仿宋" w:cs="仿宋"/>
          <w:b w:val="0"/>
          <w:bCs w:val="0"/>
          <w:sz w:val="28"/>
        </w:rPr>
      </w:pPr>
      <w:r>
        <w:rPr>
          <w:rFonts w:hint="eastAsia" w:ascii="仿宋" w:hAnsi="仿宋" w:eastAsia="仿宋" w:cs="仿宋"/>
          <w:b w:val="0"/>
          <w:bCs w:val="0"/>
          <w:sz w:val="28"/>
        </w:rPr>
        <w:t>六、负贲全市投资综合管理。拟订全市固定资产投资总规模、结构调控目标和政策,按规定提出政府投资项目审批权限和修订政府核准的固定资产投资项目目录建议。安排市级预算内基本建设资金和有关发展性专项资金,按规定权限审批、审核项目,同时做好审批、审核、核准的监督管理工作。规划全市重点建设项目和生产力布局,组织推动重点建设项目。拟订并推动落实鼓励民间投资政策措施。</w:t>
      </w:r>
    </w:p>
    <w:p>
      <w:pPr>
        <w:spacing w:line="500" w:lineRule="exact"/>
        <w:ind w:firstLine="560" w:firstLineChars="200"/>
        <w:jc w:val="left"/>
        <w:rPr>
          <w:rFonts w:hint="eastAsia" w:ascii="仿宋" w:hAnsi="仿宋" w:eastAsia="仿宋" w:cs="仿宋"/>
          <w:b w:val="0"/>
          <w:bCs w:val="0"/>
          <w:sz w:val="28"/>
        </w:rPr>
      </w:pPr>
      <w:r>
        <w:rPr>
          <w:rFonts w:hint="eastAsia" w:ascii="仿宋" w:hAnsi="仿宋" w:eastAsia="仿宋" w:cs="仿宋"/>
          <w:b w:val="0"/>
          <w:bCs w:val="0"/>
          <w:sz w:val="28"/>
        </w:rPr>
        <w:t>七、推进落实区域协调发展战略、新型城镇化战略和重大政策,组织拟订相关区域规划和政策。按要求做好京津冀协同发展等区域发展战略的相关工作统筹协调区域合作和对口支援工作。组织编制并推动实施新型城镇化规划。</w:t>
      </w:r>
    </w:p>
    <w:p>
      <w:pPr>
        <w:spacing w:line="500" w:lineRule="exact"/>
        <w:ind w:firstLine="560" w:firstLineChars="200"/>
        <w:jc w:val="left"/>
        <w:rPr>
          <w:rFonts w:hint="eastAsia" w:ascii="仿宋" w:hAnsi="仿宋" w:eastAsia="仿宋" w:cs="仿宋"/>
          <w:b w:val="0"/>
          <w:bCs w:val="0"/>
          <w:sz w:val="28"/>
        </w:rPr>
      </w:pPr>
      <w:r>
        <w:rPr>
          <w:rFonts w:hint="eastAsia" w:ascii="仿宋" w:hAnsi="仿宋" w:eastAsia="仿宋" w:cs="仿宋"/>
          <w:b w:val="0"/>
          <w:bCs w:val="0"/>
          <w:sz w:val="28"/>
        </w:rPr>
        <w:t>八、组织贯彻实施国家产业政策,拟订全市综合性产业政策。协调一二三产业发展重大问题并统筹衔接相关发展规划和重大政策。协调推进重大基础设施建设发展,组织拟订并推动实施服务业及现代物流业战略规划和重大政策。综合研判消费变动趋势,拟订实施促进消费的综合性政策措施。</w:t>
      </w:r>
    </w:p>
    <w:p>
      <w:pPr>
        <w:spacing w:line="500" w:lineRule="exact"/>
        <w:ind w:firstLine="560" w:firstLineChars="200"/>
        <w:jc w:val="left"/>
        <w:rPr>
          <w:rFonts w:hint="eastAsia" w:ascii="仿宋" w:hAnsi="仿宋" w:eastAsia="仿宋" w:cs="仿宋"/>
          <w:b w:val="0"/>
          <w:bCs w:val="0"/>
          <w:sz w:val="28"/>
        </w:rPr>
      </w:pPr>
      <w:r>
        <w:rPr>
          <w:rFonts w:hint="eastAsia" w:ascii="仿宋" w:hAnsi="仿宋" w:eastAsia="仿宋" w:cs="仿宋"/>
          <w:b w:val="0"/>
          <w:bCs w:val="0"/>
          <w:sz w:val="28"/>
        </w:rPr>
        <w:t>九、推动实施全市创新驱动发展战略。会同相关部门拟订全市推进创新创业的规划和政策,提出创新发展和培育经济发展新动能的政策。会同相关部门规划布局市级重大科技基础设施。组织拟订并推动实施高技术产业和战略性新兴产业及数字经济发展规划政策,协调产业升级、重大技术装备推广应用等方面的重大问题。</w:t>
      </w:r>
    </w:p>
    <w:p>
      <w:pPr>
        <w:spacing w:line="500" w:lineRule="exact"/>
        <w:ind w:firstLine="560" w:firstLineChars="200"/>
        <w:jc w:val="left"/>
        <w:rPr>
          <w:rFonts w:hint="eastAsia" w:ascii="仿宋" w:hAnsi="仿宋" w:eastAsia="仿宋" w:cs="仿宋"/>
          <w:b w:val="0"/>
          <w:bCs w:val="0"/>
          <w:sz w:val="28"/>
        </w:rPr>
      </w:pPr>
      <w:r>
        <w:rPr>
          <w:rFonts w:hint="eastAsia" w:ascii="仿宋" w:hAnsi="仿宋" w:eastAsia="仿宋" w:cs="仿宋"/>
          <w:b w:val="0"/>
          <w:bCs w:val="0"/>
          <w:sz w:val="28"/>
        </w:rPr>
        <w:t>十、跟踪研判涉及经济安全、生态安全、资源安全、科技安全、社会安全等各类风险隐患,提出相关工作建议。协调落实重要工业品、原材料和重要农产品进出口调控措施。会同有关部门拟订全市储备物资品种目录、总体发展规划</w:t>
      </w:r>
    </w:p>
    <w:p>
      <w:pPr>
        <w:spacing w:line="500" w:lineRule="exact"/>
        <w:ind w:firstLine="560" w:firstLineChars="200"/>
        <w:jc w:val="left"/>
        <w:rPr>
          <w:rFonts w:hint="eastAsia" w:ascii="仿宋" w:hAnsi="仿宋" w:eastAsia="仿宋" w:cs="仿宋"/>
          <w:b w:val="0"/>
          <w:bCs w:val="0"/>
          <w:sz w:val="28"/>
        </w:rPr>
      </w:pPr>
      <w:r>
        <w:rPr>
          <w:rFonts w:hint="eastAsia" w:ascii="仿宋" w:hAnsi="仿宋" w:eastAsia="仿宋" w:cs="仿宋"/>
          <w:b w:val="0"/>
          <w:bCs w:val="0"/>
          <w:sz w:val="28"/>
        </w:rPr>
        <w:t>十一、负责全市社会发展与国民经济发展的政策衔接,协调有关重大问题。组织拟订社会发展战略、总体规划,统筹推进基本公共服务体系建设和收入分配制度改革,提出促进就业、完善社会保障与经济协调发展的政策建议</w:t>
      </w:r>
    </w:p>
    <w:p>
      <w:pPr>
        <w:spacing w:line="500" w:lineRule="exact"/>
        <w:ind w:firstLine="560" w:firstLineChars="200"/>
        <w:jc w:val="left"/>
        <w:rPr>
          <w:rFonts w:hint="eastAsia" w:ascii="仿宋" w:hAnsi="仿宋" w:eastAsia="仿宋" w:cs="仿宋"/>
          <w:b w:val="0"/>
          <w:bCs w:val="0"/>
          <w:sz w:val="28"/>
        </w:rPr>
      </w:pPr>
      <w:r>
        <w:rPr>
          <w:rFonts w:hint="eastAsia" w:ascii="仿宋" w:hAnsi="仿宋" w:eastAsia="仿宋" w:cs="仿宋"/>
          <w:b w:val="0"/>
          <w:bCs w:val="0"/>
          <w:sz w:val="28"/>
        </w:rPr>
        <w:t>十二、推进实施可持续发展战略,推动生态文明建设和改革,协调生态环境保护与修复、能源资源节约和综合利用等工作。提出健全生态保护补偿机制的政策措施,综合协调环保产业和清洁生产促进有关工作。组织实施全省下达的能源消费控制目标、任务。</w:t>
      </w:r>
    </w:p>
    <w:p>
      <w:pPr>
        <w:spacing w:line="500" w:lineRule="exact"/>
        <w:ind w:firstLine="560" w:firstLineChars="200"/>
        <w:jc w:val="left"/>
        <w:rPr>
          <w:rFonts w:hint="eastAsia" w:ascii="仿宋" w:hAnsi="仿宋" w:eastAsia="仿宋" w:cs="仿宋"/>
          <w:b w:val="0"/>
          <w:bCs w:val="0"/>
          <w:sz w:val="28"/>
        </w:rPr>
      </w:pPr>
      <w:r>
        <w:rPr>
          <w:rFonts w:hint="eastAsia" w:ascii="仿宋" w:hAnsi="仿宋" w:eastAsia="仿宋" w:cs="仿宋"/>
          <w:b w:val="0"/>
          <w:bCs w:val="0"/>
          <w:sz w:val="28"/>
        </w:rPr>
        <w:t>十三、组织拟订推进全市经济建设与国防建设协调发展的战略和规划,组织推进经济建设项目贯彻国防要求。</w:t>
      </w:r>
    </w:p>
    <w:p>
      <w:pPr>
        <w:spacing w:line="500" w:lineRule="exact"/>
        <w:ind w:firstLine="560" w:firstLineChars="200"/>
        <w:jc w:val="left"/>
        <w:rPr>
          <w:rFonts w:hint="eastAsia" w:ascii="仿宋" w:hAnsi="仿宋" w:eastAsia="仿宋" w:cs="仿宋"/>
          <w:b w:val="0"/>
          <w:bCs w:val="0"/>
          <w:sz w:val="28"/>
        </w:rPr>
      </w:pPr>
      <w:r>
        <w:rPr>
          <w:rFonts w:hint="eastAsia" w:ascii="仿宋" w:hAnsi="仿宋" w:eastAsia="仿宋" w:cs="仿宋"/>
          <w:b w:val="0"/>
          <w:bCs w:val="0"/>
          <w:sz w:val="28"/>
        </w:rPr>
        <w:t>十四、承担市委财经委员会、市推进京津冀协同发展工作领导小组、市重点建设领导小组、市化解钢铁过剩产能工作领导小组、市服务支持雄安新区规划建设推进工作领导小组等有关具体工作</w:t>
      </w:r>
    </w:p>
    <w:p>
      <w:pPr>
        <w:spacing w:line="500" w:lineRule="exact"/>
        <w:ind w:firstLine="560" w:firstLineChars="200"/>
        <w:jc w:val="left"/>
        <w:rPr>
          <w:rFonts w:hint="eastAsia" w:ascii="仿宋" w:hAnsi="仿宋" w:eastAsia="仿宋" w:cs="仿宋"/>
          <w:b w:val="0"/>
          <w:bCs w:val="0"/>
          <w:sz w:val="28"/>
        </w:rPr>
      </w:pPr>
      <w:r>
        <w:rPr>
          <w:rFonts w:hint="eastAsia" w:ascii="仿宋" w:hAnsi="仿宋" w:eastAsia="仿宋" w:cs="仿宋"/>
          <w:b w:val="0"/>
          <w:bCs w:val="0"/>
          <w:sz w:val="28"/>
        </w:rPr>
        <w:t>十五、组织落实国家、省有关粮食流通和物资储备的法律、法规和政策。拟订全市粮食流通、市级粮食储备和物资储备的政策和制度并组织实施。指导全市粮食流通和物资储备体制改革。落实国家粮食行业发展规划和政策,拟订全市粮食行业发展规划并组织实施。承担全市粮食流通宏观调控,落实国家粮食购销政策,负责粮食、食糖等物资管理工作,监测市内粮食、食糖等物资供求变化并预测预警。承担粮食安全责任制考核日常工作。研究提出市级粮食和物资储备规划、储备品种目录建议,组织实施市级粮食、食糖和救灾物资等物资的收储、轮换和日常管理,落实有关动用计划和指令。指导县级粮食和物资储备工作。负责贯彻落实国家粮食和物资储备仓储管理有关技术标准和规范。负责粮食流通、加工行业安全生产的监督管理,承担市级粮食、食糖和救灾物资等物资承储企业以及物资储备承储单位安全生产的监管责任。负责市级粮食、食糖和救灾物资等物资储备基础设施建设和管理。拟订粮食流通设施建设规划并组织实施,管理有关储备基础设施和粮食流通设施投资项目。负责对市级粮食、食糖和救灾物资等物资储备的数量、质量和储存安全实施监督管理,对其他部门管理的物资储备进行监督指导。负责粮食流通监督检查,负责粮食收购、储存、运输环节粮食质量安全和原粮卫生的监督管理,组织实施全市粮食库存检查工作。贯彻国家粮食流通和物资储备有关标准、粮食质量标准和有关技术规范并监督执行。开展全市粮食和物资储备的对外合作与交流。</w:t>
      </w:r>
    </w:p>
    <w:p>
      <w:pPr>
        <w:spacing w:line="500" w:lineRule="exact"/>
        <w:ind w:firstLine="560" w:firstLineChars="200"/>
        <w:jc w:val="left"/>
        <w:rPr>
          <w:rFonts w:hint="eastAsia" w:ascii="仿宋" w:hAnsi="仿宋" w:eastAsia="仿宋" w:cs="仿宋"/>
          <w:b w:val="0"/>
          <w:bCs w:val="0"/>
          <w:sz w:val="28"/>
        </w:rPr>
      </w:pPr>
      <w:r>
        <w:rPr>
          <w:rFonts w:hint="eastAsia" w:ascii="仿宋" w:hAnsi="仿宋" w:eastAsia="仿宋" w:cs="仿宋"/>
          <w:b w:val="0"/>
          <w:bCs w:val="0"/>
          <w:sz w:val="28"/>
        </w:rPr>
        <w:t>十六、提出能源发展战略的建议,拟订能源发展规划、产业政策和年度指导计划并组织实施。推进能源体制改革,拟订有关改革方案并组织实施。协调能源发展和改革中的重大问题。组织实施煤炭、石油、天然气、电力、新能源和可再生能源等能源，以及炼油、煤制燃料和生物质液体等燃料的产业政策和相关标准。按照规定权限，负责审批、审核市规划内和年度计划规模内能源固定资产投资项目，同时做好审批、核准、审核的监督管理。指导协调农村能源发展工作。组织推进能源重大设备研发，指导能源科技进步、成套设备的引进消化创新，组织协调相关示范工程和推广应用新产品、新技术、新设备。负责能源行业节能和资源练合利用。参与研究能源消费总量控制目标建议，指导监督能源消费总量控制有关工作，街接能源生产建设和供需平衡。负责能源预测预警。发布能源信息，参与能源运行调节和应急保障。监管油气、新能源市场运行，规范能源市场秩序。监管油气管网设施的公平开放，参与电力市场的监管。参与组织推进能源国际合作。参与拟订与能源相关的资源、财税、环保及应对气候变化等政策，提出能源价格调整建议。</w:t>
      </w:r>
    </w:p>
    <w:p>
      <w:pPr>
        <w:spacing w:line="500" w:lineRule="exact"/>
        <w:ind w:firstLine="560" w:firstLineChars="200"/>
        <w:jc w:val="left"/>
        <w:rPr>
          <w:rFonts w:hint="eastAsia" w:ascii="仿宋" w:hAnsi="仿宋" w:eastAsia="仿宋" w:cs="仿宋"/>
          <w:b w:val="0"/>
          <w:bCs w:val="0"/>
          <w:sz w:val="28"/>
        </w:rPr>
      </w:pPr>
      <w:r>
        <w:rPr>
          <w:rFonts w:hint="eastAsia" w:ascii="仿宋" w:hAnsi="仿宋" w:eastAsia="仿宋" w:cs="仿宋"/>
          <w:b w:val="0"/>
          <w:bCs w:val="0"/>
          <w:sz w:val="28"/>
        </w:rPr>
        <w:t>十七、负责全市口岸规划、建设、开放和管理工作。</w:t>
      </w:r>
    </w:p>
    <w:p>
      <w:pPr>
        <w:spacing w:line="500" w:lineRule="exact"/>
        <w:ind w:firstLine="560" w:firstLineChars="200"/>
        <w:jc w:val="left"/>
        <w:rPr>
          <w:rFonts w:hint="eastAsia" w:ascii="仿宋" w:hAnsi="仿宋" w:eastAsia="仿宋" w:cs="仿宋"/>
          <w:b w:val="0"/>
          <w:bCs w:val="0"/>
          <w:sz w:val="28"/>
        </w:rPr>
      </w:pPr>
      <w:r>
        <w:rPr>
          <w:rFonts w:hint="eastAsia" w:ascii="仿宋" w:hAnsi="仿宋" w:eastAsia="仿宋" w:cs="仿宋"/>
          <w:b w:val="0"/>
          <w:bCs w:val="0"/>
          <w:sz w:val="28"/>
        </w:rPr>
        <w:t>十八、完成市委、市政府交办的其他任务。</w:t>
      </w:r>
    </w:p>
    <w:p>
      <w:pPr>
        <w:spacing w:line="500" w:lineRule="exact"/>
        <w:ind w:firstLine="560" w:firstLineChars="200"/>
        <w:jc w:val="left"/>
        <w:rPr>
          <w:rFonts w:ascii="Times New Roman" w:eastAsia="方正仿宋_GBK"/>
          <w:sz w:val="28"/>
        </w:rPr>
      </w:pPr>
    </w:p>
    <w:p>
      <w:pPr>
        <w:spacing w:line="500" w:lineRule="exact"/>
        <w:ind w:firstLine="560" w:firstLineChars="200"/>
        <w:jc w:val="left"/>
        <w:rPr>
          <w:rFonts w:ascii="Times New Roman" w:eastAsia="方正仿宋_GBK"/>
          <w:sz w:val="28"/>
        </w:rPr>
        <w:sectPr>
          <w:footerReference r:id="rId3" w:type="default"/>
          <w:pgSz w:w="16839" w:h="11907" w:orient="landscape"/>
          <w:pgMar w:top="1134" w:right="1531" w:bottom="1134" w:left="1474" w:header="851" w:footer="992" w:gutter="0"/>
          <w:pgNumType w:start="1"/>
          <w:cols w:space="425" w:num="1"/>
          <w:docGrid w:type="lines" w:linePitch="312" w:charSpace="0"/>
        </w:sectPr>
      </w:pPr>
    </w:p>
    <w:p>
      <w:pPr>
        <w:autoSpaceDE w:val="0"/>
        <w:autoSpaceDN w:val="0"/>
        <w:adjustRightInd w:val="0"/>
        <w:spacing w:line="584" w:lineRule="exact"/>
        <w:ind w:firstLine="630" w:firstLineChars="196"/>
        <w:jc w:val="left"/>
        <w:rPr>
          <w:rFonts w:ascii="Times New Roman" w:hAnsi="Times New Roman" w:eastAsia="楷体_GB2312" w:cs="Times New Roman"/>
          <w:b/>
          <w:sz w:val="32"/>
          <w:szCs w:val="32"/>
        </w:rPr>
      </w:pPr>
      <w:r>
        <w:rPr>
          <w:rFonts w:ascii="Times New Roman" w:hAnsi="Times New Roman" w:eastAsia="楷体_GB2312" w:cs="Times New Roman"/>
          <w:b/>
          <w:sz w:val="32"/>
          <w:szCs w:val="32"/>
        </w:rPr>
        <w:t>机构设置：</w:t>
      </w:r>
    </w:p>
    <w:p>
      <w:pPr>
        <w:spacing w:line="584" w:lineRule="exact"/>
        <w:jc w:val="center"/>
        <w:outlineLvl w:val="0"/>
        <w:rPr>
          <w:rFonts w:ascii="Times New Roman" w:hAnsi="Times New Roman" w:eastAsia="仿宋_GB2312" w:cs="Times New Roman"/>
          <w:b/>
          <w:sz w:val="32"/>
          <w:szCs w:val="24"/>
        </w:rPr>
      </w:pPr>
      <w:r>
        <w:rPr>
          <w:rFonts w:ascii="Times New Roman" w:hAnsi="Times New Roman" w:eastAsia="仿宋_GB2312" w:cs="Times New Roman"/>
          <w:b/>
          <w:sz w:val="32"/>
          <w:szCs w:val="24"/>
        </w:rPr>
        <w:t>部门机构设置情况</w:t>
      </w:r>
    </w:p>
    <w:tbl>
      <w:tblPr>
        <w:tblStyle w:val="8"/>
        <w:tblW w:w="1058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443"/>
        <w:gridCol w:w="1927"/>
        <w:gridCol w:w="1599"/>
        <w:gridCol w:w="261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84" w:hRule="atLeast"/>
          <w:tblHeader/>
          <w:jc w:val="center"/>
        </w:trPr>
        <w:tc>
          <w:tcPr>
            <w:tcW w:w="4443" w:type="dxa"/>
            <w:vMerge w:val="restart"/>
            <w:shd w:val="clear" w:color="auto" w:fill="auto"/>
            <w:vAlign w:val="center"/>
          </w:tcPr>
          <w:p>
            <w:pPr>
              <w:spacing w:line="584" w:lineRule="exact"/>
              <w:jc w:val="center"/>
              <w:rPr>
                <w:rFonts w:ascii="Times New Roman" w:hAnsi="Times New Roman" w:eastAsia="仿宋_GB2312" w:cs="Times New Roman"/>
                <w:b w:val="0"/>
                <w:bCs/>
                <w:sz w:val="32"/>
                <w:szCs w:val="32"/>
              </w:rPr>
            </w:pPr>
            <w:r>
              <w:rPr>
                <w:rFonts w:ascii="Times New Roman" w:hAnsi="Times New Roman" w:eastAsia="仿宋_GB2312" w:cs="Times New Roman"/>
                <w:b w:val="0"/>
                <w:bCs/>
                <w:sz w:val="32"/>
                <w:szCs w:val="32"/>
              </w:rPr>
              <w:t>单位名称</w:t>
            </w:r>
          </w:p>
        </w:tc>
        <w:tc>
          <w:tcPr>
            <w:tcW w:w="1927" w:type="dxa"/>
            <w:vMerge w:val="restart"/>
            <w:shd w:val="clear" w:color="auto" w:fill="auto"/>
            <w:vAlign w:val="center"/>
          </w:tcPr>
          <w:p>
            <w:pPr>
              <w:spacing w:line="584" w:lineRule="exact"/>
              <w:jc w:val="center"/>
              <w:rPr>
                <w:rFonts w:ascii="Times New Roman" w:hAnsi="Times New Roman" w:eastAsia="仿宋_GB2312" w:cs="Times New Roman"/>
                <w:b w:val="0"/>
                <w:bCs/>
                <w:sz w:val="32"/>
                <w:szCs w:val="32"/>
              </w:rPr>
            </w:pPr>
            <w:r>
              <w:rPr>
                <w:rFonts w:ascii="Times New Roman" w:hAnsi="Times New Roman" w:eastAsia="仿宋_GB2312" w:cs="Times New Roman"/>
                <w:b w:val="0"/>
                <w:bCs/>
                <w:sz w:val="32"/>
                <w:szCs w:val="32"/>
              </w:rPr>
              <w:t>单位性质</w:t>
            </w:r>
          </w:p>
        </w:tc>
        <w:tc>
          <w:tcPr>
            <w:tcW w:w="1599" w:type="dxa"/>
            <w:vMerge w:val="restart"/>
            <w:shd w:val="clear" w:color="auto" w:fill="auto"/>
            <w:vAlign w:val="center"/>
          </w:tcPr>
          <w:p>
            <w:pPr>
              <w:spacing w:line="584" w:lineRule="exact"/>
              <w:jc w:val="center"/>
              <w:rPr>
                <w:rFonts w:ascii="Times New Roman" w:hAnsi="Times New Roman" w:eastAsia="仿宋_GB2312" w:cs="Times New Roman"/>
                <w:b w:val="0"/>
                <w:bCs/>
                <w:sz w:val="32"/>
                <w:szCs w:val="32"/>
              </w:rPr>
            </w:pPr>
            <w:r>
              <w:rPr>
                <w:rFonts w:ascii="Times New Roman" w:hAnsi="Times New Roman" w:eastAsia="仿宋_GB2312" w:cs="Times New Roman"/>
                <w:b w:val="0"/>
                <w:bCs/>
                <w:sz w:val="32"/>
                <w:szCs w:val="32"/>
              </w:rPr>
              <w:t>单位规格</w:t>
            </w:r>
          </w:p>
        </w:tc>
        <w:tc>
          <w:tcPr>
            <w:tcW w:w="2617" w:type="dxa"/>
            <w:vMerge w:val="restart"/>
            <w:shd w:val="clear" w:color="auto" w:fill="auto"/>
            <w:vAlign w:val="center"/>
          </w:tcPr>
          <w:p>
            <w:pPr>
              <w:spacing w:line="584" w:lineRule="exact"/>
              <w:jc w:val="center"/>
              <w:rPr>
                <w:rFonts w:ascii="Times New Roman" w:hAnsi="Times New Roman" w:eastAsia="仿宋_GB2312" w:cs="Times New Roman"/>
                <w:b w:val="0"/>
                <w:bCs/>
                <w:sz w:val="32"/>
                <w:szCs w:val="32"/>
              </w:rPr>
            </w:pPr>
            <w:r>
              <w:rPr>
                <w:rFonts w:ascii="Times New Roman" w:hAnsi="Times New Roman" w:eastAsia="仿宋_GB2312" w:cs="Times New Roman"/>
                <w:b w:val="0"/>
                <w:bCs/>
                <w:sz w:val="32"/>
                <w:szCs w:val="32"/>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12" w:hRule="atLeast"/>
          <w:tblHeader/>
          <w:jc w:val="center"/>
        </w:trPr>
        <w:tc>
          <w:tcPr>
            <w:tcW w:w="4443" w:type="dxa"/>
            <w:vMerge w:val="continue"/>
            <w:shd w:val="clear" w:color="auto" w:fill="auto"/>
            <w:vAlign w:val="center"/>
          </w:tcPr>
          <w:p/>
        </w:tc>
        <w:tc>
          <w:tcPr>
            <w:tcW w:w="1927" w:type="dxa"/>
            <w:vMerge w:val="continue"/>
            <w:shd w:val="clear" w:color="auto" w:fill="auto"/>
            <w:vAlign w:val="center"/>
          </w:tcPr>
          <w:p/>
        </w:tc>
        <w:tc>
          <w:tcPr>
            <w:tcW w:w="1599" w:type="dxa"/>
            <w:vMerge w:val="continue"/>
            <w:shd w:val="clear" w:color="auto" w:fill="auto"/>
            <w:vAlign w:val="center"/>
          </w:tcPr>
          <w:p/>
        </w:tc>
        <w:tc>
          <w:tcPr>
            <w:tcW w:w="2617" w:type="dxa"/>
            <w:vMerge w:val="continue"/>
            <w:shd w:val="clear" w:color="auto" w:fill="auto"/>
            <w:vAlign w:val="center"/>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83" w:hRule="atLeast"/>
          <w:jc w:val="center"/>
        </w:trPr>
        <w:tc>
          <w:tcPr>
            <w:tcW w:w="4443" w:type="dxa"/>
            <w:shd w:val="clear" w:color="auto" w:fill="auto"/>
            <w:vAlign w:val="center"/>
          </w:tcPr>
          <w:p>
            <w:pPr>
              <w:spacing w:line="300" w:lineRule="exact"/>
              <w:jc w:val="center"/>
              <w:rPr>
                <w:rFonts w:ascii="Times New Roman" w:hAnsi="Times New Roman" w:eastAsia="仿宋_GB2312" w:cs="Times New Roman"/>
                <w:b/>
              </w:rPr>
            </w:pPr>
            <w:r>
              <w:rPr>
                <w:rFonts w:hint="eastAsia" w:ascii="仿宋" w:hAnsi="仿宋" w:eastAsia="仿宋"/>
                <w:sz w:val="32"/>
                <w:szCs w:val="32"/>
              </w:rPr>
              <w:t>廊坊市发展和改革委员</w:t>
            </w:r>
          </w:p>
        </w:tc>
        <w:tc>
          <w:tcPr>
            <w:tcW w:w="1927" w:type="dxa"/>
            <w:shd w:val="clear" w:color="auto" w:fill="auto"/>
            <w:vAlign w:val="center"/>
          </w:tcPr>
          <w:p>
            <w:pPr>
              <w:spacing w:line="300" w:lineRule="exact"/>
              <w:jc w:val="center"/>
              <w:rPr>
                <w:rFonts w:ascii="Times New Roman" w:hAnsi="Times New Roman" w:eastAsia="仿宋_GB2312" w:cs="Times New Roman"/>
                <w:b/>
              </w:rPr>
            </w:pPr>
            <w:r>
              <w:rPr>
                <w:rFonts w:hint="eastAsia" w:ascii="仿宋" w:hAnsi="仿宋" w:eastAsia="仿宋"/>
                <w:sz w:val="32"/>
                <w:szCs w:val="32"/>
              </w:rPr>
              <w:t>行政</w:t>
            </w:r>
          </w:p>
        </w:tc>
        <w:tc>
          <w:tcPr>
            <w:tcW w:w="1599" w:type="dxa"/>
            <w:shd w:val="clear" w:color="auto" w:fill="auto"/>
            <w:vAlign w:val="center"/>
          </w:tcPr>
          <w:p>
            <w:pPr>
              <w:spacing w:line="300" w:lineRule="exact"/>
              <w:jc w:val="center"/>
              <w:rPr>
                <w:rFonts w:ascii="Times New Roman" w:hAnsi="Times New Roman" w:eastAsia="仿宋_GB2312" w:cs="Times New Roman"/>
                <w:b/>
              </w:rPr>
            </w:pPr>
            <w:r>
              <w:rPr>
                <w:rFonts w:hint="eastAsia" w:ascii="仿宋" w:hAnsi="仿宋" w:eastAsia="仿宋"/>
                <w:sz w:val="32"/>
                <w:szCs w:val="32"/>
              </w:rPr>
              <w:t>正处级</w:t>
            </w:r>
          </w:p>
        </w:tc>
        <w:tc>
          <w:tcPr>
            <w:tcW w:w="2617" w:type="dxa"/>
            <w:shd w:val="clear" w:color="auto" w:fill="auto"/>
            <w:vAlign w:val="center"/>
          </w:tcPr>
          <w:p>
            <w:pPr>
              <w:spacing w:line="300" w:lineRule="exact"/>
              <w:jc w:val="center"/>
              <w:rPr>
                <w:rFonts w:ascii="Times New Roman" w:hAnsi="Times New Roman" w:eastAsia="仿宋_GB2312" w:cs="Times New Roman"/>
                <w:b/>
              </w:rPr>
            </w:pPr>
            <w:r>
              <w:rPr>
                <w:rFonts w:hint="eastAsia" w:ascii="仿宋" w:hAnsi="仿宋" w:eastAsia="仿宋"/>
                <w:sz w:val="32"/>
                <w:szCs w:val="32"/>
              </w:rPr>
              <w:t>财政拨款</w:t>
            </w:r>
          </w:p>
        </w:tc>
      </w:tr>
    </w:tbl>
    <w:p>
      <w:pPr>
        <w:spacing w:line="58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二、部门预算安排的总体情况</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按照预算管理有关规定，目前我市部门预算的编制实行综合预算制度，即全部收入和支出都反映在预算中。</w:t>
      </w:r>
      <w:r>
        <w:rPr>
          <w:rFonts w:hint="eastAsia" w:ascii="仿宋" w:hAnsi="仿宋" w:eastAsia="仿宋" w:cs="Times New Roman"/>
          <w:sz w:val="32"/>
          <w:szCs w:val="32"/>
        </w:rPr>
        <w:t>廊坊市发展和改革委员会机关本</w:t>
      </w:r>
      <w:r>
        <w:rPr>
          <w:rFonts w:hint="eastAsia" w:ascii="仿宋" w:hAnsi="仿宋" w:eastAsia="仿宋" w:cs="Times New Roman"/>
          <w:sz w:val="32"/>
          <w:szCs w:val="32"/>
          <w:lang w:eastAsia="zh-CN"/>
        </w:rPr>
        <w:t>级</w:t>
      </w:r>
      <w:r>
        <w:rPr>
          <w:rFonts w:ascii="仿宋" w:hAnsi="仿宋" w:eastAsia="仿宋" w:cs="Times New Roman"/>
          <w:sz w:val="32"/>
          <w:szCs w:val="32"/>
        </w:rPr>
        <w:t>的收支包含在</w:t>
      </w:r>
      <w:r>
        <w:rPr>
          <w:rFonts w:hint="eastAsia" w:ascii="仿宋" w:hAnsi="仿宋" w:eastAsia="仿宋" w:cs="Times New Roman"/>
          <w:sz w:val="32"/>
          <w:szCs w:val="32"/>
        </w:rPr>
        <w:t>本级</w:t>
      </w:r>
      <w:r>
        <w:rPr>
          <w:rFonts w:ascii="仿宋" w:hAnsi="仿宋" w:eastAsia="仿宋" w:cs="Times New Roman"/>
          <w:sz w:val="32"/>
          <w:szCs w:val="32"/>
        </w:rPr>
        <w:t>预算中</w:t>
      </w:r>
      <w:r>
        <w:rPr>
          <w:rFonts w:ascii="Times New Roman" w:hAnsi="Times New Roman" w:eastAsia="仿宋_GB2312" w:cs="Times New Roman"/>
          <w:sz w:val="32"/>
          <w:szCs w:val="32"/>
        </w:rPr>
        <w:t>。</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1、收入说明</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反映本部门当年全部收入。20</w:t>
      </w:r>
      <w:r>
        <w:rPr>
          <w:rFonts w:hint="eastAsia" w:ascii="Times New Roman" w:hAnsi="Times New Roman" w:eastAsia="仿宋_GB2312" w:cs="Times New Roman"/>
          <w:sz w:val="32"/>
          <w:szCs w:val="32"/>
        </w:rPr>
        <w:t>21</w:t>
      </w:r>
      <w:r>
        <w:rPr>
          <w:rFonts w:ascii="Times New Roman" w:hAnsi="Times New Roman" w:eastAsia="仿宋_GB2312" w:cs="Times New Roman"/>
          <w:sz w:val="32"/>
          <w:szCs w:val="32"/>
        </w:rPr>
        <w:t>年预算收入</w:t>
      </w:r>
      <w:r>
        <w:rPr>
          <w:rFonts w:hint="eastAsia" w:ascii="仿宋" w:hAnsi="仿宋" w:eastAsia="仿宋" w:cs="仿宋"/>
          <w:sz w:val="32"/>
          <w:szCs w:val="32"/>
          <w:lang w:val="en-US" w:eastAsia="zh-CN"/>
        </w:rPr>
        <w:t>15022.13</w:t>
      </w:r>
      <w:r>
        <w:rPr>
          <w:rFonts w:ascii="Times New Roman" w:hAnsi="Times New Roman" w:eastAsia="仿宋_GB2312" w:cs="Times New Roman"/>
          <w:sz w:val="32"/>
          <w:szCs w:val="32"/>
        </w:rPr>
        <w:t>万元，其中：一般公共预算收入</w:t>
      </w:r>
      <w:r>
        <w:rPr>
          <w:rFonts w:hint="eastAsia" w:ascii="仿宋" w:hAnsi="仿宋" w:eastAsia="仿宋" w:cs="仿宋"/>
          <w:sz w:val="32"/>
          <w:szCs w:val="32"/>
        </w:rPr>
        <w:t>10286.26</w:t>
      </w:r>
      <w:r>
        <w:rPr>
          <w:rFonts w:ascii="Times New Roman" w:hAnsi="Times New Roman" w:eastAsia="仿宋_GB2312" w:cs="Times New Roman"/>
          <w:sz w:val="32"/>
          <w:szCs w:val="32"/>
        </w:rPr>
        <w:t>万元，基金预算收入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万元，财政专户核拨收入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万元，其他来源收入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上年结转</w:t>
      </w:r>
      <w:r>
        <w:rPr>
          <w:rFonts w:hint="eastAsia" w:ascii="Times New Roman" w:hAnsi="Times New Roman" w:eastAsia="仿宋_GB2312" w:cs="Times New Roman"/>
          <w:sz w:val="32"/>
          <w:szCs w:val="32"/>
          <w:lang w:val="en-US" w:eastAsia="zh-CN"/>
        </w:rPr>
        <w:t>4735.87</w:t>
      </w:r>
      <w:r>
        <w:rPr>
          <w:rFonts w:hint="eastAsia" w:ascii="Times New Roman" w:hAnsi="Times New Roman" w:eastAsia="仿宋_GB2312" w:cs="Times New Roman"/>
          <w:sz w:val="32"/>
          <w:szCs w:val="32"/>
        </w:rPr>
        <w:t>万元</w:t>
      </w:r>
      <w:r>
        <w:rPr>
          <w:rFonts w:ascii="Times New Roman" w:hAnsi="Times New Roman" w:eastAsia="仿宋_GB2312" w:cs="Times New Roman"/>
          <w:sz w:val="32"/>
          <w:szCs w:val="32"/>
        </w:rPr>
        <w:t>。</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2、支出说明</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收支预算总表支出栏、基本支出表、项目支出表按经济分类和支出功能分类科目编制，反映</w:t>
      </w:r>
      <w:r>
        <w:rPr>
          <w:rFonts w:hint="eastAsia" w:ascii="Times New Roman" w:hAnsi="Times New Roman" w:eastAsia="仿宋_GB2312" w:cs="Times New Roman"/>
          <w:sz w:val="32"/>
          <w:szCs w:val="32"/>
          <w:lang w:eastAsia="zh-CN"/>
        </w:rPr>
        <w:t>廊坊市发展和改革委员会</w:t>
      </w:r>
      <w:r>
        <w:rPr>
          <w:rFonts w:ascii="Times New Roman" w:hAnsi="Times New Roman" w:eastAsia="仿宋_GB2312" w:cs="Times New Roman"/>
          <w:sz w:val="32"/>
          <w:szCs w:val="32"/>
        </w:rPr>
        <w:t>年度部门预算中支出预算的总体情况。20</w:t>
      </w:r>
      <w:r>
        <w:rPr>
          <w:rFonts w:hint="eastAsia" w:ascii="Times New Roman" w:hAnsi="Times New Roman" w:eastAsia="仿宋_GB2312" w:cs="Times New Roman"/>
          <w:sz w:val="32"/>
          <w:szCs w:val="32"/>
        </w:rPr>
        <w:t>21</w:t>
      </w:r>
      <w:r>
        <w:rPr>
          <w:rFonts w:ascii="Times New Roman" w:hAnsi="Times New Roman" w:eastAsia="仿宋_GB2312" w:cs="Times New Roman"/>
          <w:sz w:val="32"/>
          <w:szCs w:val="32"/>
        </w:rPr>
        <w:t>年支出预算</w:t>
      </w:r>
      <w:r>
        <w:rPr>
          <w:rFonts w:hint="eastAsia" w:ascii="仿宋" w:hAnsi="仿宋" w:eastAsia="仿宋" w:cs="仿宋"/>
          <w:sz w:val="32"/>
          <w:szCs w:val="32"/>
          <w:lang w:val="en-US" w:eastAsia="zh-CN"/>
        </w:rPr>
        <w:t>15022.13</w:t>
      </w:r>
      <w:r>
        <w:rPr>
          <w:rFonts w:ascii="Times New Roman" w:hAnsi="Times New Roman" w:eastAsia="仿宋_GB2312" w:cs="Times New Roman"/>
          <w:sz w:val="32"/>
          <w:szCs w:val="32"/>
        </w:rPr>
        <w:t>万元，其中基本支出</w:t>
      </w:r>
      <w:r>
        <w:rPr>
          <w:rFonts w:hint="eastAsia" w:ascii="仿宋" w:hAnsi="仿宋" w:eastAsia="仿宋" w:cs="仿宋"/>
          <w:sz w:val="32"/>
          <w:szCs w:val="32"/>
        </w:rPr>
        <w:t>5403.28</w:t>
      </w:r>
      <w:r>
        <w:rPr>
          <w:rFonts w:ascii="Times New Roman" w:hAnsi="Times New Roman" w:eastAsia="仿宋_GB2312" w:cs="Times New Roman"/>
          <w:sz w:val="32"/>
          <w:szCs w:val="32"/>
        </w:rPr>
        <w:t>万元，包括人员类项目经费</w:t>
      </w:r>
      <w:r>
        <w:rPr>
          <w:rFonts w:hint="eastAsia" w:ascii="仿宋" w:hAnsi="仿宋" w:eastAsia="仿宋" w:cs="仿宋"/>
          <w:sz w:val="32"/>
          <w:szCs w:val="32"/>
        </w:rPr>
        <w:t>4798.11</w:t>
      </w:r>
      <w:r>
        <w:rPr>
          <w:rFonts w:ascii="Times New Roman" w:hAnsi="Times New Roman" w:eastAsia="仿宋_GB2312" w:cs="Times New Roman"/>
          <w:sz w:val="32"/>
          <w:szCs w:val="32"/>
        </w:rPr>
        <w:t>万元和</w:t>
      </w:r>
      <w:r>
        <w:rPr>
          <w:rFonts w:hint="eastAsia" w:ascii="Times New Roman" w:hAnsi="Times New Roman" w:eastAsia="仿宋_GB2312" w:cs="Times New Roman"/>
          <w:sz w:val="32"/>
          <w:szCs w:val="32"/>
        </w:rPr>
        <w:t>运转类</w:t>
      </w:r>
      <w:r>
        <w:rPr>
          <w:rFonts w:ascii="Times New Roman" w:hAnsi="Times New Roman" w:eastAsia="仿宋_GB2312" w:cs="Times New Roman"/>
          <w:sz w:val="32"/>
          <w:szCs w:val="32"/>
        </w:rPr>
        <w:t>公用项目经费</w:t>
      </w:r>
      <w:r>
        <w:rPr>
          <w:rFonts w:hint="eastAsia" w:ascii="仿宋" w:hAnsi="仿宋" w:eastAsia="仿宋" w:cs="仿宋"/>
          <w:sz w:val="32"/>
          <w:szCs w:val="32"/>
        </w:rPr>
        <w:t>605.17</w:t>
      </w:r>
      <w:r>
        <w:rPr>
          <w:rFonts w:ascii="Times New Roman" w:hAnsi="Times New Roman" w:eastAsia="仿宋_GB2312" w:cs="Times New Roman"/>
          <w:sz w:val="32"/>
          <w:szCs w:val="32"/>
        </w:rPr>
        <w:t>万元；运转类其他及特定目标类项目支出</w:t>
      </w:r>
      <w:r>
        <w:rPr>
          <w:rFonts w:hint="eastAsia" w:ascii="仿宋" w:hAnsi="仿宋" w:eastAsia="仿宋" w:cs="仿宋"/>
          <w:sz w:val="32"/>
          <w:szCs w:val="32"/>
          <w:lang w:val="en-US" w:eastAsia="zh-CN"/>
        </w:rPr>
        <w:t>9618.85</w:t>
      </w:r>
      <w:r>
        <w:rPr>
          <w:rFonts w:ascii="Times New Roman" w:hAnsi="Times New Roman" w:eastAsia="仿宋_GB2312" w:cs="Times New Roman"/>
          <w:sz w:val="32"/>
          <w:szCs w:val="32"/>
        </w:rPr>
        <w:t>万元，包括本级支出和</w:t>
      </w:r>
      <w:r>
        <w:rPr>
          <w:rFonts w:ascii="Times New Roman" w:hAnsi="Times New Roman" w:eastAsia="仿宋_GB2312" w:cs="Times New Roman"/>
          <w:sz w:val="32"/>
          <w:szCs w:val="32"/>
          <w:highlight w:val="none"/>
        </w:rPr>
        <w:t>对下补助支出</w:t>
      </w:r>
      <w:r>
        <w:rPr>
          <w:rFonts w:ascii="Times New Roman" w:hAnsi="Times New Roman" w:eastAsia="仿宋_GB2312" w:cs="Times New Roman"/>
          <w:sz w:val="32"/>
          <w:szCs w:val="32"/>
        </w:rPr>
        <w:t>，主要为</w:t>
      </w:r>
      <w:r>
        <w:rPr>
          <w:rFonts w:hint="eastAsia" w:ascii="仿宋" w:hAnsi="仿宋" w:eastAsia="仿宋" w:cs="仿宋"/>
          <w:sz w:val="32"/>
          <w:szCs w:val="32"/>
        </w:rPr>
        <w:t>救灾物资购置经费</w:t>
      </w:r>
      <w:r>
        <w:rPr>
          <w:rFonts w:hint="eastAsia" w:ascii="仿宋" w:hAnsi="仿宋" w:eastAsia="仿宋" w:cs="仿宋"/>
          <w:sz w:val="32"/>
          <w:szCs w:val="32"/>
          <w:lang w:eastAsia="zh-CN"/>
        </w:rPr>
        <w:t>、廊坊市重点项目专项资金、政府投资项目投资评估论证经费、</w:t>
      </w:r>
      <w:r>
        <w:rPr>
          <w:rFonts w:hint="eastAsia" w:ascii="仿宋" w:hAnsi="仿宋" w:eastAsia="仿宋" w:cs="仿宋"/>
          <w:sz w:val="32"/>
          <w:szCs w:val="32"/>
        </w:rPr>
        <w:t>廊坊市粮油质量检测中心实验室建设资金</w:t>
      </w:r>
      <w:r>
        <w:rPr>
          <w:rFonts w:ascii="Times New Roman" w:hAnsi="Times New Roman" w:eastAsia="仿宋_GB2312" w:cs="Times New Roman"/>
          <w:sz w:val="32"/>
          <w:szCs w:val="32"/>
        </w:rPr>
        <w:t>等。</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3、比上年增减情况</w:t>
      </w:r>
    </w:p>
    <w:p>
      <w:pPr>
        <w:spacing w:line="584" w:lineRule="exact"/>
        <w:ind w:firstLine="640"/>
        <w:rPr>
          <w:rFonts w:hint="default" w:ascii="Times New Roman" w:hAnsi="Times New Roman" w:eastAsia="仿宋" w:cs="Times New Roman"/>
          <w:sz w:val="32"/>
          <w:szCs w:val="32"/>
          <w:lang w:val="en-US" w:eastAsia="zh-CN"/>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21</w:t>
      </w:r>
      <w:r>
        <w:rPr>
          <w:rFonts w:ascii="Times New Roman" w:hAnsi="Times New Roman" w:eastAsia="仿宋_GB2312" w:cs="Times New Roman"/>
          <w:sz w:val="32"/>
          <w:szCs w:val="32"/>
        </w:rPr>
        <w:t>年预算收支安排</w:t>
      </w:r>
      <w:r>
        <w:rPr>
          <w:rFonts w:hint="eastAsia" w:ascii="仿宋" w:hAnsi="仿宋" w:eastAsia="仿宋" w:cs="仿宋"/>
          <w:sz w:val="32"/>
          <w:szCs w:val="32"/>
          <w:lang w:val="en-US" w:eastAsia="zh-CN"/>
        </w:rPr>
        <w:t>15022.13</w:t>
      </w:r>
      <w:r>
        <w:rPr>
          <w:rFonts w:ascii="Times New Roman" w:hAnsi="Times New Roman" w:eastAsia="仿宋_GB2312" w:cs="Times New Roman"/>
          <w:sz w:val="32"/>
          <w:szCs w:val="32"/>
        </w:rPr>
        <w:t>万元，较20</w:t>
      </w:r>
      <w:r>
        <w:rPr>
          <w:rFonts w:hint="eastAsia" w:ascii="Times New Roman" w:hAnsi="Times New Roman" w:eastAsia="仿宋_GB2312" w:cs="Times New Roman"/>
          <w:sz w:val="32"/>
          <w:szCs w:val="32"/>
        </w:rPr>
        <w:t>20</w:t>
      </w:r>
      <w:r>
        <w:rPr>
          <w:rFonts w:ascii="Times New Roman" w:hAnsi="Times New Roman" w:eastAsia="仿宋_GB2312" w:cs="Times New Roman"/>
          <w:sz w:val="32"/>
          <w:szCs w:val="32"/>
        </w:rPr>
        <w:t>年预算</w:t>
      </w:r>
      <w:r>
        <w:rPr>
          <w:rFonts w:hint="eastAsia" w:ascii="仿宋" w:hAnsi="仿宋" w:eastAsia="仿宋" w:cs="仿宋"/>
          <w:sz w:val="32"/>
          <w:szCs w:val="32"/>
          <w:highlight w:val="none"/>
          <w:lang w:val="en-US" w:eastAsia="zh-CN"/>
        </w:rPr>
        <w:t>增加3592.89</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增加的主要原因为上年结转“充电基础设施建设奖补资金”及“粮库智能化升级改造项目合同款”等项目经费造成。</w:t>
      </w:r>
      <w:bookmarkStart w:id="30" w:name="_GoBack"/>
      <w:bookmarkEnd w:id="30"/>
    </w:p>
    <w:p>
      <w:pPr>
        <w:autoSpaceDE w:val="0"/>
        <w:autoSpaceDN w:val="0"/>
        <w:adjustRightInd w:val="0"/>
        <w:spacing w:line="584" w:lineRule="exact"/>
        <w:ind w:left="198"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三、机关运行经费安排情况</w:t>
      </w:r>
    </w:p>
    <w:p>
      <w:pPr>
        <w:autoSpaceDE w:val="0"/>
        <w:autoSpaceDN w:val="0"/>
        <w:adjustRightInd w:val="0"/>
        <w:spacing w:line="584" w:lineRule="exact"/>
        <w:ind w:left="198"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21</w:t>
      </w:r>
      <w:r>
        <w:rPr>
          <w:rFonts w:ascii="Times New Roman" w:hAnsi="Times New Roman" w:eastAsia="仿宋_GB2312" w:cs="Times New Roman"/>
          <w:sz w:val="32"/>
          <w:szCs w:val="32"/>
        </w:rPr>
        <w:t>年</w:t>
      </w:r>
      <w:r>
        <w:rPr>
          <w:rFonts w:ascii="Times New Roman" w:hAnsi="Times New Roman" w:eastAsia="仿宋_GB2312" w:cs="Times New Roman"/>
          <w:color w:val="auto"/>
          <w:sz w:val="32"/>
          <w:szCs w:val="32"/>
        </w:rPr>
        <w:t>，我</w:t>
      </w:r>
      <w:r>
        <w:rPr>
          <w:rFonts w:hint="eastAsia" w:ascii="Times New Roman" w:hAnsi="Times New Roman" w:eastAsia="仿宋_GB2312" w:cs="Times New Roman"/>
          <w:color w:val="auto"/>
          <w:sz w:val="32"/>
          <w:szCs w:val="32"/>
          <w:lang w:eastAsia="zh-CN"/>
        </w:rPr>
        <w:t>部门</w:t>
      </w:r>
      <w:r>
        <w:rPr>
          <w:rFonts w:ascii="Times New Roman" w:hAnsi="Times New Roman" w:eastAsia="仿宋_GB2312" w:cs="Times New Roman"/>
          <w:color w:val="auto"/>
          <w:sz w:val="32"/>
          <w:szCs w:val="32"/>
        </w:rPr>
        <w:t>机</w:t>
      </w:r>
      <w:r>
        <w:rPr>
          <w:rFonts w:ascii="Times New Roman" w:hAnsi="Times New Roman" w:eastAsia="仿宋_GB2312" w:cs="Times New Roman"/>
          <w:sz w:val="32"/>
          <w:szCs w:val="32"/>
        </w:rPr>
        <w:t>关运行经费共计安排</w:t>
      </w:r>
      <w:r>
        <w:rPr>
          <w:rFonts w:hint="eastAsia" w:ascii="仿宋" w:hAnsi="仿宋" w:eastAsia="仿宋" w:cs="仿宋"/>
          <w:sz w:val="32"/>
          <w:szCs w:val="32"/>
        </w:rPr>
        <w:t>605.17</w:t>
      </w:r>
      <w:r>
        <w:rPr>
          <w:rFonts w:ascii="Times New Roman" w:hAnsi="Times New Roman" w:eastAsia="仿宋_GB2312" w:cs="Times New Roman"/>
          <w:sz w:val="32"/>
          <w:szCs w:val="32"/>
        </w:rPr>
        <w:t>万元，主要用于</w:t>
      </w:r>
      <w:r>
        <w:rPr>
          <w:rFonts w:hint="eastAsia" w:ascii="Times New Roman" w:hAnsi="Times New Roman" w:eastAsia="仿宋_GB2312" w:cs="Times New Roman"/>
          <w:sz w:val="32"/>
          <w:szCs w:val="32"/>
          <w:lang w:eastAsia="zh-CN" w:bidi="ar-SA"/>
        </w:rPr>
        <w:t>我部门</w:t>
      </w:r>
      <w:r>
        <w:rPr>
          <w:rFonts w:ascii="Times New Roman" w:hAnsi="Times New Roman" w:eastAsia="仿宋_GB2312" w:cs="Times New Roman"/>
          <w:sz w:val="32"/>
          <w:szCs w:val="32"/>
        </w:rPr>
        <w:t>办公区的日常维修、办公用房水电费、办公用房取暖费、办公用房物业管理费等日常运行支出。</w:t>
      </w:r>
    </w:p>
    <w:p>
      <w:pPr>
        <w:autoSpaceDE w:val="0"/>
        <w:autoSpaceDN w:val="0"/>
        <w:adjustRightInd w:val="0"/>
        <w:spacing w:line="584" w:lineRule="exact"/>
        <w:ind w:firstLine="630" w:firstLineChars="196"/>
        <w:jc w:val="left"/>
        <w:rPr>
          <w:rFonts w:ascii="Times New Roman" w:hAnsi="Times New Roman" w:eastAsia="仿宋_GB2312" w:cs="Times New Roman"/>
          <w:b/>
          <w:sz w:val="32"/>
          <w:szCs w:val="32"/>
        </w:rPr>
      </w:pPr>
      <w:r>
        <w:rPr>
          <w:rFonts w:ascii="Times New Roman" w:hAnsi="Times New Roman" w:eastAsia="仿宋_GB2312" w:cs="Times New Roman"/>
          <w:b/>
          <w:sz w:val="32"/>
          <w:szCs w:val="32"/>
        </w:rPr>
        <w:t>四、财政拨款“三公”经费预算情况及增减变化原因</w:t>
      </w:r>
    </w:p>
    <w:p>
      <w:pPr>
        <w:autoSpaceDE w:val="0"/>
        <w:autoSpaceDN w:val="0"/>
        <w:adjustRightInd w:val="0"/>
        <w:spacing w:line="584" w:lineRule="exact"/>
        <w:ind w:left="197" w:leftChars="94" w:firstLine="640" w:firstLineChars="200"/>
        <w:jc w:val="left"/>
        <w:rPr>
          <w:rFonts w:ascii="Times New Roman" w:hAnsi="Times New Roman" w:eastAsia="仿宋_GB2312" w:cs="Times New Roman"/>
          <w:color w:val="000000" w:themeColor="text1"/>
          <w:sz w:val="32"/>
          <w:szCs w:val="32"/>
          <w:highlight w:val="none"/>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21</w:t>
      </w:r>
      <w:r>
        <w:rPr>
          <w:rFonts w:ascii="Times New Roman" w:hAnsi="Times New Roman" w:eastAsia="仿宋_GB2312" w:cs="Times New Roman"/>
          <w:sz w:val="32"/>
          <w:szCs w:val="32"/>
        </w:rPr>
        <w:t>年，</w:t>
      </w:r>
      <w:r>
        <w:rPr>
          <w:rFonts w:ascii="Times New Roman" w:hAnsi="Times New Roman" w:eastAsia="仿宋_GB2312" w:cs="Times New Roman"/>
          <w:color w:val="auto"/>
          <w:sz w:val="32"/>
          <w:szCs w:val="32"/>
        </w:rPr>
        <w:t>我</w:t>
      </w:r>
      <w:r>
        <w:rPr>
          <w:rFonts w:hint="eastAsia" w:ascii="Times New Roman" w:hAnsi="Times New Roman" w:eastAsia="仿宋_GB2312" w:cs="Times New Roman"/>
          <w:color w:val="auto"/>
          <w:sz w:val="32"/>
          <w:szCs w:val="32"/>
          <w:lang w:eastAsia="zh-CN"/>
        </w:rPr>
        <w:t>部门</w:t>
      </w:r>
      <w:r>
        <w:rPr>
          <w:rFonts w:ascii="Times New Roman" w:hAnsi="Times New Roman" w:eastAsia="仿宋_GB2312" w:cs="Times New Roman"/>
          <w:color w:val="auto"/>
          <w:sz w:val="32"/>
          <w:szCs w:val="32"/>
        </w:rPr>
        <w:t>财</w:t>
      </w:r>
      <w:r>
        <w:rPr>
          <w:rFonts w:ascii="Times New Roman" w:hAnsi="Times New Roman" w:eastAsia="仿宋_GB2312" w:cs="Times New Roman"/>
          <w:sz w:val="32"/>
          <w:szCs w:val="32"/>
        </w:rPr>
        <w:t>政拨款“三公”经费预算安排</w:t>
      </w:r>
      <w:r>
        <w:rPr>
          <w:rFonts w:hint="eastAsia" w:ascii="仿宋" w:hAnsi="仿宋" w:eastAsia="仿宋" w:cs="仿宋"/>
          <w:b w:val="0"/>
          <w:bCs/>
          <w:sz w:val="32"/>
          <w:szCs w:val="32"/>
        </w:rPr>
        <w:t>63.33</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其中</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因公出国（境）费</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万元；公务用车购置及运维费</w:t>
      </w:r>
      <w:r>
        <w:rPr>
          <w:rFonts w:hint="eastAsia" w:ascii="仿宋" w:hAnsi="仿宋" w:eastAsia="仿宋" w:cs="仿宋"/>
          <w:sz w:val="32"/>
          <w:szCs w:val="32"/>
        </w:rPr>
        <w:t>58.92</w:t>
      </w:r>
      <w:r>
        <w:rPr>
          <w:rFonts w:ascii="Times New Roman" w:hAnsi="Times New Roman" w:eastAsia="仿宋_GB2312" w:cs="Times New Roman"/>
          <w:sz w:val="32"/>
          <w:szCs w:val="32"/>
        </w:rPr>
        <w:t>万元（其中：公务用车购置费为</w:t>
      </w:r>
      <w:r>
        <w:rPr>
          <w:rFonts w:hint="eastAsia" w:ascii="仿宋" w:hAnsi="仿宋" w:eastAsia="仿宋" w:cs="仿宋"/>
          <w:sz w:val="32"/>
          <w:szCs w:val="32"/>
          <w:lang w:val="en-US" w:eastAsia="zh-CN"/>
        </w:rPr>
        <w:t>0</w:t>
      </w:r>
      <w:r>
        <w:rPr>
          <w:rFonts w:ascii="Times New Roman" w:hAnsi="Times New Roman" w:eastAsia="仿宋_GB2312" w:cs="Times New Roman"/>
          <w:sz w:val="32"/>
          <w:szCs w:val="32"/>
        </w:rPr>
        <w:t>万元，公务用车运维费</w:t>
      </w:r>
      <w:r>
        <w:rPr>
          <w:rFonts w:hint="eastAsia" w:ascii="仿宋" w:hAnsi="仿宋" w:eastAsia="仿宋" w:cs="仿宋"/>
          <w:sz w:val="32"/>
          <w:szCs w:val="32"/>
        </w:rPr>
        <w:t>58.92</w:t>
      </w:r>
      <w:r>
        <w:rPr>
          <w:rFonts w:ascii="Times New Roman" w:hAnsi="Times New Roman" w:eastAsia="仿宋_GB2312" w:cs="Times New Roman"/>
          <w:sz w:val="32"/>
          <w:szCs w:val="32"/>
        </w:rPr>
        <w:t>万元)；公务接待费</w:t>
      </w:r>
      <w:r>
        <w:rPr>
          <w:rFonts w:hint="eastAsia" w:ascii="仿宋" w:hAnsi="仿宋" w:eastAsia="仿宋" w:cs="仿宋"/>
          <w:sz w:val="32"/>
          <w:szCs w:val="32"/>
        </w:rPr>
        <w:t>4.41</w:t>
      </w:r>
      <w:r>
        <w:rPr>
          <w:rFonts w:ascii="Times New Roman" w:hAnsi="Times New Roman" w:eastAsia="仿宋_GB2312" w:cs="Times New Roman"/>
          <w:sz w:val="32"/>
          <w:szCs w:val="32"/>
        </w:rPr>
        <w:t>万元。与20</w:t>
      </w:r>
      <w:r>
        <w:rPr>
          <w:rFonts w:hint="eastAsia" w:ascii="Times New Roman" w:hAnsi="Times New Roman" w:eastAsia="仿宋_GB2312" w:cs="Times New Roman"/>
          <w:sz w:val="32"/>
          <w:szCs w:val="32"/>
        </w:rPr>
        <w:t>20</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相比</w:t>
      </w:r>
      <w:r>
        <w:rPr>
          <w:rFonts w:ascii="Times New Roman" w:hAnsi="Times New Roman" w:eastAsia="仿宋_GB2312" w:cs="Times New Roman"/>
          <w:color w:val="000000" w:themeColor="text1"/>
          <w:sz w:val="32"/>
          <w:szCs w:val="32"/>
          <w:highlight w:val="none"/>
        </w:rPr>
        <w:t>减</w:t>
      </w:r>
      <w:r>
        <w:rPr>
          <w:rFonts w:hint="eastAsia" w:ascii="Times New Roman" w:hAnsi="Times New Roman" w:eastAsia="仿宋_GB2312" w:cs="Times New Roman"/>
          <w:color w:val="000000" w:themeColor="text1"/>
          <w:sz w:val="32"/>
          <w:szCs w:val="32"/>
          <w:highlight w:val="none"/>
        </w:rPr>
        <w:t>少</w:t>
      </w:r>
      <w:r>
        <w:rPr>
          <w:rFonts w:hint="eastAsia" w:ascii="Times New Roman" w:hAnsi="Times New Roman" w:eastAsia="仿宋_GB2312" w:cs="Times New Roman"/>
          <w:color w:val="000000" w:themeColor="text1"/>
          <w:sz w:val="32"/>
          <w:szCs w:val="32"/>
          <w:highlight w:val="none"/>
          <w:lang w:val="en-US" w:eastAsia="zh-CN"/>
        </w:rPr>
        <w:t>4</w:t>
      </w:r>
      <w:r>
        <w:rPr>
          <w:rFonts w:ascii="Times New Roman" w:hAnsi="Times New Roman" w:eastAsia="仿宋_GB2312" w:cs="Times New Roman"/>
          <w:color w:val="000000" w:themeColor="text1"/>
          <w:sz w:val="32"/>
          <w:szCs w:val="32"/>
          <w:highlight w:val="none"/>
        </w:rPr>
        <w:t>万元，</w:t>
      </w:r>
      <w:r>
        <w:rPr>
          <w:rFonts w:hint="eastAsia" w:ascii="Times New Roman" w:hAnsi="Times New Roman" w:eastAsia="仿宋_GB2312" w:cs="Times New Roman"/>
          <w:color w:val="000000" w:themeColor="text1"/>
          <w:sz w:val="32"/>
          <w:szCs w:val="32"/>
          <w:highlight w:val="none"/>
        </w:rPr>
        <w:t>其中，</w:t>
      </w:r>
      <w:r>
        <w:rPr>
          <w:rFonts w:ascii="Times New Roman" w:hAnsi="Times New Roman" w:eastAsia="仿宋_GB2312" w:cs="Times New Roman"/>
          <w:color w:val="000000" w:themeColor="text1"/>
          <w:sz w:val="32"/>
          <w:szCs w:val="32"/>
          <w:highlight w:val="none"/>
        </w:rPr>
        <w:t>公务用车购置及运维费减</w:t>
      </w:r>
      <w:r>
        <w:rPr>
          <w:rFonts w:hint="eastAsia" w:ascii="Times New Roman" w:hAnsi="Times New Roman" w:eastAsia="仿宋_GB2312" w:cs="Times New Roman"/>
          <w:color w:val="000000" w:themeColor="text1"/>
          <w:sz w:val="32"/>
          <w:szCs w:val="32"/>
          <w:highlight w:val="none"/>
        </w:rPr>
        <w:t>少</w:t>
      </w:r>
      <w:r>
        <w:rPr>
          <w:rFonts w:hint="eastAsia" w:ascii="Times New Roman" w:hAnsi="Times New Roman" w:eastAsia="仿宋_GB2312" w:cs="Times New Roman"/>
          <w:color w:val="000000" w:themeColor="text1"/>
          <w:sz w:val="32"/>
          <w:szCs w:val="32"/>
          <w:highlight w:val="none"/>
          <w:lang w:val="en-US" w:eastAsia="zh-CN"/>
        </w:rPr>
        <w:t>4</w:t>
      </w:r>
      <w:r>
        <w:rPr>
          <w:rFonts w:ascii="Times New Roman" w:hAnsi="Times New Roman" w:eastAsia="仿宋_GB2312" w:cs="Times New Roman"/>
          <w:color w:val="000000" w:themeColor="text1"/>
          <w:sz w:val="32"/>
          <w:szCs w:val="32"/>
          <w:highlight w:val="none"/>
        </w:rPr>
        <w:t>万元（其中：公务用车购置费</w:t>
      </w:r>
      <w:r>
        <w:rPr>
          <w:rFonts w:ascii="Times New Roman" w:hAnsi="Times New Roman" w:eastAsia="仿宋_GB2312" w:cs="Times New Roman"/>
          <w:color w:val="auto"/>
          <w:sz w:val="32"/>
          <w:szCs w:val="32"/>
          <w:highlight w:val="none"/>
        </w:rPr>
        <w:t>与20</w:t>
      </w:r>
      <w:r>
        <w:rPr>
          <w:rFonts w:hint="eastAsia" w:ascii="Times New Roman" w:hAnsi="Times New Roman" w:eastAsia="仿宋_GB2312" w:cs="Times New Roman"/>
          <w:color w:val="auto"/>
          <w:sz w:val="32"/>
          <w:szCs w:val="32"/>
          <w:highlight w:val="none"/>
        </w:rPr>
        <w:t>20</w:t>
      </w:r>
      <w:r>
        <w:rPr>
          <w:rFonts w:ascii="Times New Roman" w:hAnsi="Times New Roman" w:eastAsia="仿宋_GB2312" w:cs="Times New Roman"/>
          <w:color w:val="auto"/>
          <w:sz w:val="32"/>
          <w:szCs w:val="32"/>
          <w:highlight w:val="none"/>
        </w:rPr>
        <w:t>年相比持平，无增减变化，</w:t>
      </w:r>
      <w:r>
        <w:rPr>
          <w:rFonts w:ascii="Times New Roman" w:hAnsi="Times New Roman" w:eastAsia="仿宋_GB2312" w:cs="Times New Roman"/>
          <w:color w:val="000000" w:themeColor="text1"/>
          <w:sz w:val="32"/>
          <w:szCs w:val="32"/>
          <w:highlight w:val="none"/>
        </w:rPr>
        <w:t>公务用车运维费减</w:t>
      </w:r>
      <w:r>
        <w:rPr>
          <w:rFonts w:hint="eastAsia" w:ascii="Times New Roman" w:hAnsi="Times New Roman" w:eastAsia="仿宋_GB2312" w:cs="Times New Roman"/>
          <w:color w:val="000000" w:themeColor="text1"/>
          <w:sz w:val="32"/>
          <w:szCs w:val="32"/>
          <w:highlight w:val="none"/>
        </w:rPr>
        <w:t>少</w:t>
      </w:r>
      <w:r>
        <w:rPr>
          <w:rFonts w:hint="eastAsia" w:ascii="Times New Roman" w:hAnsi="Times New Roman" w:eastAsia="仿宋_GB2312" w:cs="Times New Roman"/>
          <w:color w:val="000000" w:themeColor="text1"/>
          <w:sz w:val="32"/>
          <w:szCs w:val="32"/>
          <w:highlight w:val="none"/>
          <w:lang w:val="en-US" w:eastAsia="zh-CN"/>
        </w:rPr>
        <w:t>4</w:t>
      </w:r>
      <w:r>
        <w:rPr>
          <w:rFonts w:ascii="Times New Roman" w:hAnsi="Times New Roman" w:eastAsia="仿宋_GB2312" w:cs="Times New Roman"/>
          <w:color w:val="000000" w:themeColor="text1"/>
          <w:sz w:val="32"/>
          <w:szCs w:val="32"/>
          <w:highlight w:val="none"/>
        </w:rPr>
        <w:t>万元)</w:t>
      </w:r>
      <w:r>
        <w:rPr>
          <w:rFonts w:hint="eastAsia" w:ascii="Times New Roman" w:hAnsi="Times New Roman" w:eastAsia="仿宋_GB2312" w:cs="Times New Roman"/>
          <w:color w:val="000000" w:themeColor="text1"/>
          <w:sz w:val="32"/>
          <w:szCs w:val="32"/>
          <w:highlight w:val="none"/>
        </w:rPr>
        <w:t>，</w:t>
      </w:r>
      <w:r>
        <w:rPr>
          <w:rFonts w:ascii="Times New Roman" w:hAnsi="Times New Roman" w:eastAsia="仿宋_GB2312" w:cs="Times New Roman"/>
          <w:color w:val="000000" w:themeColor="text1"/>
          <w:sz w:val="32"/>
          <w:szCs w:val="32"/>
          <w:highlight w:val="none"/>
        </w:rPr>
        <w:t>主要原因是</w:t>
      </w:r>
      <w:r>
        <w:rPr>
          <w:rFonts w:hint="eastAsia" w:ascii="Times New Roman" w:hAnsi="Times New Roman" w:eastAsia="仿宋_GB2312" w:cs="Times New Roman"/>
          <w:color w:val="000000" w:themeColor="text1"/>
          <w:sz w:val="32"/>
          <w:szCs w:val="32"/>
          <w:highlight w:val="none"/>
        </w:rPr>
        <w:t>我部门切实落实勤俭节约各项规定，压减公车运行经费支出</w:t>
      </w:r>
      <w:r>
        <w:rPr>
          <w:rFonts w:ascii="仿宋" w:hAnsi="仿宋" w:eastAsia="仿宋" w:cs="Times New Roman"/>
          <w:color w:val="auto"/>
          <w:sz w:val="32"/>
          <w:szCs w:val="32"/>
        </w:rPr>
        <w:t>；</w:t>
      </w:r>
      <w:r>
        <w:rPr>
          <w:rFonts w:ascii="Times New Roman" w:hAnsi="Times New Roman" w:eastAsia="仿宋_GB2312" w:cs="Times New Roman"/>
          <w:color w:val="000000" w:themeColor="text1"/>
          <w:sz w:val="32"/>
          <w:szCs w:val="32"/>
          <w:highlight w:val="none"/>
        </w:rPr>
        <w:t>公务接待费与20</w:t>
      </w:r>
      <w:r>
        <w:rPr>
          <w:rFonts w:hint="eastAsia" w:ascii="Times New Roman" w:hAnsi="Times New Roman" w:eastAsia="仿宋_GB2312" w:cs="Times New Roman"/>
          <w:color w:val="000000" w:themeColor="text1"/>
          <w:sz w:val="32"/>
          <w:szCs w:val="32"/>
          <w:highlight w:val="none"/>
        </w:rPr>
        <w:t>20</w:t>
      </w:r>
      <w:r>
        <w:rPr>
          <w:rFonts w:ascii="Times New Roman" w:hAnsi="Times New Roman" w:eastAsia="仿宋_GB2312" w:cs="Times New Roman"/>
          <w:color w:val="000000" w:themeColor="text1"/>
          <w:sz w:val="32"/>
          <w:szCs w:val="32"/>
          <w:highlight w:val="none"/>
        </w:rPr>
        <w:t>年相比持平，无增减变化</w:t>
      </w:r>
      <w:r>
        <w:rPr>
          <w:rFonts w:hint="eastAsia" w:ascii="Times New Roman" w:hAnsi="Times New Roman" w:eastAsia="仿宋_GB2312" w:cs="Times New Roman"/>
          <w:color w:val="000000" w:themeColor="text1"/>
          <w:sz w:val="32"/>
          <w:szCs w:val="32"/>
          <w:highlight w:val="none"/>
        </w:rPr>
        <w:t>。</w:t>
      </w:r>
    </w:p>
    <w:p>
      <w:pPr>
        <w:spacing w:line="58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五、绩效预算信息</w:t>
      </w:r>
    </w:p>
    <w:p>
      <w:pPr>
        <w:spacing w:line="58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第一部分 部门整体绩效目标</w:t>
      </w:r>
    </w:p>
    <w:p>
      <w:pPr>
        <w:spacing w:line="584" w:lineRule="exact"/>
        <w:ind w:firstLine="643" w:firstLineChars="200"/>
        <w:rPr>
          <w:rFonts w:ascii="楷体_GB2312" w:eastAsia="楷体_GB2312" w:cs="Times New Roman"/>
          <w:b/>
          <w:sz w:val="32"/>
          <w:szCs w:val="32"/>
        </w:rPr>
      </w:pPr>
      <w:r>
        <w:rPr>
          <w:rFonts w:hint="eastAsia" w:ascii="楷体_GB2312" w:eastAsia="楷体_GB2312" w:cs="Times New Roman"/>
          <w:b/>
          <w:sz w:val="32"/>
          <w:szCs w:val="32"/>
        </w:rPr>
        <w:t>（一）总体绩效目标</w:t>
      </w:r>
    </w:p>
    <w:p>
      <w:pPr>
        <w:spacing w:line="500" w:lineRule="exact"/>
        <w:ind w:firstLine="960" w:firstLineChars="300"/>
        <w:rPr>
          <w:rFonts w:hint="eastAsia" w:ascii="仿宋" w:hAnsi="仿宋" w:eastAsia="仿宋" w:cs="仿宋"/>
          <w:sz w:val="32"/>
          <w:szCs w:val="32"/>
        </w:rPr>
      </w:pPr>
      <w:r>
        <w:rPr>
          <w:rFonts w:hint="eastAsia" w:ascii="仿宋" w:hAnsi="仿宋" w:eastAsia="仿宋" w:cs="仿宋"/>
          <w:sz w:val="32"/>
          <w:szCs w:val="32"/>
        </w:rPr>
        <w:t>以党中央、省委和市委关于发展改革工作的方针政策和决策部署，坚持和加强党对发展改革工作的集中统一领导，2021年市发展改革委员会总体发展规划目标是：制订并组织实施全市国民经济和社会发展战略、中长期规划和年度计划；完成2021年列入的全市省重点项目、市重点项目和亿元以上项目建设任务，加快企业节能技术升级改造，提高投资咨询评估的质量和效率；通过奖补鼓励燃气企业，提升全市采暖季期间气源保障能力，确保天然气安全稳定供应；开展市级节能项目工作，推进全市产业结构调整和转型升级，力争节省用电量大于4亿千瓦、二氧化硫减排量大于0.45万吨、二氧化碳减排量大于45万吨；开展物资储备管理，主要解决在我市以下发生自然灾害和突发公共事件时，确保对受灾群众实施紧急救助所需的救灾物资的日常储备及储备物资的质量安全，保证救灾物资质量完好率达到100%。</w:t>
      </w:r>
    </w:p>
    <w:p>
      <w:pPr>
        <w:spacing w:line="584" w:lineRule="exact"/>
        <w:ind w:firstLine="643" w:firstLineChars="200"/>
        <w:rPr>
          <w:rFonts w:ascii="楷体_GB2312" w:eastAsia="楷体_GB2312" w:cs="Times New Roman"/>
          <w:b/>
          <w:sz w:val="32"/>
          <w:szCs w:val="32"/>
        </w:rPr>
      </w:pPr>
      <w:r>
        <w:rPr>
          <w:rFonts w:hint="eastAsia" w:ascii="楷体_GB2312" w:eastAsia="楷体_GB2312" w:cs="Times New Roman"/>
          <w:b/>
          <w:sz w:val="32"/>
          <w:szCs w:val="32"/>
        </w:rPr>
        <w:t>（二）分项绩效目标</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（一）组织编制经济社会发展规划和计划</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绩效目标：增强规划和计划的前瞻性、科学性、可操作性；规划目标全面、先进、可行；组织落实措施得力，调度有序。</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绩效指标：市人大代表表决通过率不低于90%、各类经济社会发展中长期规划编制完成率达到100%、重点领域与区域经济社会规划编制完成率达到100%。</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（二）组织全市改革开放和经济技术合作</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目标：研究全市经济体制改革和对外开放的重大问题，组织拟订综合性经济体制改革和对外开放方案；提出完善社会主义市场经济体制、以改革开放促进发展的建议，指导和综合协调推进经济体制改革；参与经济体制改革、对外开放有关地方性法规、规章的起草和组织实施。</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绩效指标：争取国内外贷款项目数量不低于1个、境外投资规模增长率达6%以上、引进市外资金数量增长率高于5%等。</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（三）经济和社会运行监测、调节与协调</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绩效目标：做好经济运行监测分析，协调经济社会运行平稳有序和健康发展，提升全省经济、装备动员能力。</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绩效指标：组织1次（含1次）以上集中调研活动，形成1个（含1个）以上政策性文件、形势分析或调研报告，春运、矿山、安全、应急处置和管理工作完成率均达到80%以上等。</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（四）促进全市区域经济发展</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绩效目标：促进沿海地区实现率先发展,推动京津冀协同发展。</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绩效指标：组织2次以上与京津对接活动的组织及项目组织、督导、调研活动，开展专题研究形成报告2项以上，召开工作会议2次以上，进行2次以上现场调研等。</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（五）推进全市产业结构调整和转型升级</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绩效目标：有效引导行业健康发展，提升全市产业和行业竞争力。</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绩效指标：提高自主创新能力，推动京津冀协同创新发展，物流业增加值增长率预算指标高于70%，推进能源结构调整后，节省用电量大于4亿千瓦等。</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（六）固定资产投资调控与管理</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绩效目标：提升公共设施水平，提高公共服务能力，促进经济和社会发展。</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绩效指标：重点项目监督稽察覆盖率达到60%以上；项目开工率达到80%以上；预算内基本建设投资计划执行率达到95%以上；固定资产投资计划完成率达到80%以上等。</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（七）价格总水平调控和价格管理</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绩效目标：保持市场价格总水平基本稳定,努力保障改善民生，促进经济持续健康发展和社会和谐稳定。</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绩效指标：居民消费价格年度预期目标完成；价格巡查监测任务完成率高于80%；国家价格政策及时落实；收费标准制定工作按时完成；认定结论按期完成率高于70%等。</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（八）粮食调控管理</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绩效目标：确保夏秋粮收购政策落实到位，不出现“卖粮难”；落实国家供应政策，确保军需民用；落实粮食储备政策，确保数量真实、质量良好、存储安全。</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指标：确保粮食产、购、销、存、加等数据以及仓储设施、国有资产、经济效益等宏观信息及时上报、汇总，保证数据信息全面、完整、正确、及时，数据正确率达到90%以上、数据上报完整率达到90%以上、数据报送时限最长滞后时间不超1天；储备粮、军粮质量良好率达到100%；应急保障率高于90%；粮食供应应急网络建设完成率达到90%以上；仓储设施完好率保持在85%以上。</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（九）物资储备管理</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绩效目标：开展本项目主要解决在我市以下发生自然灾害和突发公共事件时，确保对受灾群众实施紧急救助所需的救灾物资的日常储备及储备物资的质量安全。</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绩效指标：救灾物资质量完好率达到90%以上；救灾物资购置数量按合同约定按时按量购置齐全等。</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（十）统筹区域发展</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绩效目标：编制北三县核心区相关规划,规划科学、合理，指导性强。</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绩效指标：组织1次（含1次）以上考察学习等。</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（十一）协调区域重大项目及对接京津工作</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绩效目标：协调、跟进北三县重大基础设施建设及项目开发，并加强与京津的对接工作。</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绩效指标：组织开展1次（含1次）以上与京津相关部门进行工作对接；水环境治理和美丽乡村建设项目的进度达到60%以上；开展1次（含1次）以上专家咨询及组织培训活动等。</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（十二）组织开展全市农业资源区划工作</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绩效目标：编制、修订全市农业资源区划；完成区划部门各项调研任务。</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绩效指标：课题研究完成率、编制报告完成率均达到90%以上。</w:t>
      </w:r>
    </w:p>
    <w:p>
      <w:pPr>
        <w:spacing w:line="584" w:lineRule="exact"/>
        <w:ind w:firstLine="643" w:firstLineChars="200"/>
        <w:rPr>
          <w:rFonts w:ascii="楷体_GB2312" w:eastAsia="楷体_GB2312" w:cs="Times New Roman"/>
          <w:b/>
          <w:sz w:val="32"/>
          <w:szCs w:val="32"/>
        </w:rPr>
      </w:pPr>
      <w:r>
        <w:rPr>
          <w:rFonts w:hint="eastAsia" w:ascii="楷体_GB2312" w:eastAsia="楷体_GB2312" w:cs="Times New Roman"/>
          <w:b/>
          <w:sz w:val="32"/>
          <w:szCs w:val="32"/>
        </w:rPr>
        <w:t>（三）工作保障措施</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完善制度建设。按照《中华人民共和国预算法》、《市本级基本支出预算管理办法》和财政部门的要求制定本单位预算管理制度。1、预算编制内容包括：基本支出预算和项目支出预算。基本支出预算是预算单位为保障其机构正常运转、完成日常工作任务而编制的年度基本支出计划，包括人员经费和公用经费两部分。项目支出预算是预算单位为完成其特定的行政工作任务或事业发展目标，在基本支出预算之外编制的年度项目支出计划。2、预算编制严格按照预算编制基本原则进行编制，项目预算各科室及局所属单位应做到：一是要认真谋划下年度重点工作及目标任务，确保工作全面、科学，符合上级要求和我市实际。二是预算编制须提供相关政策、法律法规文件等作为项目审核立项的重要依据，如无依据，但确实为工作需要的需上报市委市政府等上级领导部门审批立项。三是预算绩效明确，主要填报事项包括职责活动、内容描述、绩效目标、绩效指标及优良中差等评价标准。四是预算资金构成合理，预算额度须有明确的资金支出构成，不同的经费支出需列出各自的金额，特别是对政府采购事项的支出，务必要标记出其采购内容及采购类型。预算经市人大批准并下达到我单位后，20日内在政府门户网站公开进行信息公开。</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加强支出管理。1、规范预算编制。深化零基预算改革，加强项目库建设，所有项目的征集、评审、预算下达、公开均通过项目库实施；早编细编预算，减少预算代编和预留项目；合理提高基本支出经费定额标准；试编政府采购预算，全面反映各预算单位实施采购活动的计划。2、清理整合专项资金。规范专项资金设立，对专项资金进行重新评估，对已到期、政策发生变化和没有项目支撑的，予以清理压减；推动部门内部、部门之间使用方向相近的资金整合，原则上一个部门一个专项。 </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三）加强绩效运行监控。单位要加强绩效监控结果应用。对各科室绩效监控结果进行审核分析，对发现的问题和风险进行研判，督促相关部门改进管理，确保预算资金安全有效，保障党中央、国务院重大战略部署和政策目标如期实现。</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四）做好绩效自评工作。1、建立全过程绩效评价。开展预算安排事前评审；加强预算执行和绩效运行跟踪；开展单位绩效自评、财政重点再评价以及第三方评价试点，强化绩效评价结果应用和问责。2、自评采用打分评价的形式，得分根据定量指标、定性指标的完成情况进行评定。各科室对照年初预算设定的绩效目标及指标值，对应填报年度实际完成值，对未完成绩效目标及指标要逐条分析，说明原因，并研究提出改进措施。参考《项目支出绩效自评样表》填写相应的《项目支出绩效自评表》并撰写相关项目的绩效自评工作总结。绩效自评工作总结主要包括绩效评价工作开展情况、项目管理及绩效情况、未完成原因分析、好的经验做法、存在的问题及下一步改进措施、建议等内容。工作总结要力求内容全面，数据详实，突出特色；反映问题真实客观，提出针对性强的建议。</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五）规范财务资产管理。完善财务管理制度，建立健全固定资产的盘点制度，是确保各项固定资产账实相符的有力举措。依据会计制度的相关规定：单位固定资产应定期或每年至少盘点一次。具体到单位的固定资产管理中，可通过年终或者年中对固定资产数量和使用状况全面盘点的方式，来搞清单位的家底，对盘盈、盘亏的资产形成因素进行研究。同时，还应对固定资产的结构和当前的管理情况进行认真研究，对发现账实不符、盘盈、盘亏等遗留问题及时进行整改处理，以将存量资产盘活为目的，一方面可防止固定资产的积压闲置，以确保全部固定资产的安全、完整和各自功能的全面发挥;另一方面也能使会计信息质量得以提升。</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合理分配资源，使其功能得到最大发挥这里的固定资产资源包括三大类：第一类，闲置的固定资产。可采用定期合理调剂的方式来提高使用率，使其功能得到正常发挥，对那些无法再调剂到实际生产活动中的固定资产，管理部门要对其妥善保管，并组织专业人员对其定期做的设备保养和功能鉴定，以确保其使用功能正常。第二类，对已达到报废标准的固定资产，可通过再利用的方式处理，使其功能再次发挥。第三类，对使用中的固定资产，管理部门要及时掌握其使用情况，做好维修保养处理。总之，只有实现了资源的合理配置，才能使国有固定资产的利用率提高，最大限度地发挥其功能。</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（六）加强内部监督。1、提高规范意识、纠正思想偏差，对内管工作认识再提高。2、加强学习交流，提升内管队伍素质。3、加强沟通配合，建立协作机制。4、监督提前、范围延伸，充分发挥内管监督职能。</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七）加强宣传培训调研等。提升机关事业单位财务管理水平。推进行政事业单位内控制度建设，夯实财务会计工作基础，强化公务支出和资产管理，堵塞管理漏洞，降低运行成本；加强财务人员培训，提高业务能力；开展财务管理制度执行情况专项检查，及时查处违规、违纪行为，努力提高财务管理水平。 </w:t>
      </w:r>
    </w:p>
    <w:p>
      <w:pPr>
        <w:overflowPunct w:val="0"/>
        <w:spacing w:after="156" w:afterLines="50" w:line="580" w:lineRule="exact"/>
        <w:ind w:firstLine="643" w:firstLineChars="200"/>
        <w:jc w:val="both"/>
        <w:rPr>
          <w:rFonts w:hint="eastAsia" w:ascii="楷体_GB2312" w:eastAsia="楷体_GB2312" w:cs="Times New Roman"/>
          <w:b/>
          <w:sz w:val="32"/>
          <w:szCs w:val="32"/>
        </w:rPr>
      </w:pPr>
      <w:r>
        <w:rPr>
          <w:rFonts w:hint="eastAsia" w:ascii="楷体_GB2312" w:eastAsia="楷体_GB2312" w:cs="Times New Roman"/>
          <w:b/>
          <w:sz w:val="32"/>
          <w:szCs w:val="32"/>
        </w:rPr>
        <w:t>（四）部门整体支出绩效指标</w:t>
      </w:r>
    </w:p>
    <w:p>
      <w:pPr>
        <w:overflowPunct w:val="0"/>
        <w:spacing w:after="156" w:afterLines="50" w:line="580" w:lineRule="exact"/>
        <w:ind w:firstLine="643" w:firstLineChars="200"/>
        <w:jc w:val="both"/>
        <w:rPr>
          <w:rFonts w:hint="eastAsia" w:ascii="楷体_GB2312" w:eastAsia="楷体_GB2312" w:cs="Times New Roman"/>
          <w:b/>
          <w:sz w:val="32"/>
          <w:szCs w:val="32"/>
        </w:rPr>
      </w:pPr>
    </w:p>
    <w:tbl>
      <w:tblPr>
        <w:tblStyle w:val="8"/>
        <w:tblW w:w="90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
      <w:tblGrid>
        <w:gridCol w:w="625"/>
        <w:gridCol w:w="728"/>
        <w:gridCol w:w="1148"/>
        <w:gridCol w:w="1932"/>
        <w:gridCol w:w="1497"/>
        <w:gridCol w:w="560"/>
        <w:gridCol w:w="672"/>
        <w:gridCol w:w="476"/>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trHeight w:val="340" w:hRule="atLeast"/>
          <w:tblHeader/>
          <w:jc w:val="center"/>
        </w:trPr>
        <w:tc>
          <w:tcPr>
            <w:tcW w:w="625" w:type="dxa"/>
            <w:vMerge w:val="restart"/>
            <w:noWrap w:val="0"/>
            <w:vAlign w:val="center"/>
          </w:tcPr>
          <w:p>
            <w:pPr>
              <w:overflowPunct w:val="0"/>
              <w:adjustRightInd w:val="0"/>
              <w:snapToGrid w:val="0"/>
              <w:jc w:val="center"/>
              <w:rPr>
                <w:rFonts w:ascii="方正书宋_GBK" w:eastAsia="方正书宋_GBK"/>
                <w:b/>
              </w:rPr>
            </w:pPr>
            <w:r>
              <w:rPr>
                <w:rFonts w:ascii="方正书宋_GBK" w:eastAsia="方正书宋_GBK"/>
                <w:b/>
              </w:rPr>
              <w:t>一级</w:t>
            </w:r>
          </w:p>
          <w:p>
            <w:pPr>
              <w:overflowPunct w:val="0"/>
              <w:adjustRightInd w:val="0"/>
              <w:snapToGrid w:val="0"/>
              <w:jc w:val="center"/>
              <w:rPr>
                <w:rFonts w:ascii="方正书宋_GBK" w:eastAsia="方正书宋_GBK"/>
                <w:b/>
              </w:rPr>
            </w:pPr>
            <w:r>
              <w:rPr>
                <w:rFonts w:ascii="方正书宋_GBK" w:eastAsia="方正书宋_GBK"/>
                <w:b/>
              </w:rPr>
              <w:t>指标</w:t>
            </w:r>
          </w:p>
        </w:tc>
        <w:tc>
          <w:tcPr>
            <w:tcW w:w="728" w:type="dxa"/>
            <w:vMerge w:val="restart"/>
            <w:noWrap w:val="0"/>
            <w:vAlign w:val="center"/>
          </w:tcPr>
          <w:p>
            <w:pPr>
              <w:overflowPunct w:val="0"/>
              <w:adjustRightInd w:val="0"/>
              <w:snapToGrid w:val="0"/>
              <w:jc w:val="center"/>
              <w:rPr>
                <w:rFonts w:ascii="方正书宋_GBK" w:eastAsia="方正书宋_GBK"/>
                <w:b/>
              </w:rPr>
            </w:pPr>
            <w:r>
              <w:rPr>
                <w:rFonts w:ascii="方正书宋_GBK" w:eastAsia="方正书宋_GBK"/>
                <w:b/>
              </w:rPr>
              <w:t>二级</w:t>
            </w:r>
          </w:p>
          <w:p>
            <w:pPr>
              <w:overflowPunct w:val="0"/>
              <w:adjustRightInd w:val="0"/>
              <w:snapToGrid w:val="0"/>
              <w:jc w:val="center"/>
              <w:rPr>
                <w:rFonts w:ascii="方正书宋_GBK" w:eastAsia="方正书宋_GBK"/>
                <w:b/>
              </w:rPr>
            </w:pPr>
            <w:r>
              <w:rPr>
                <w:rFonts w:ascii="方正书宋_GBK" w:eastAsia="方正书宋_GBK"/>
                <w:b/>
              </w:rPr>
              <w:t>指标</w:t>
            </w:r>
          </w:p>
        </w:tc>
        <w:tc>
          <w:tcPr>
            <w:tcW w:w="1148" w:type="dxa"/>
            <w:vMerge w:val="restart"/>
            <w:noWrap w:val="0"/>
            <w:vAlign w:val="center"/>
          </w:tcPr>
          <w:p>
            <w:pPr>
              <w:overflowPunct w:val="0"/>
              <w:adjustRightInd w:val="0"/>
              <w:snapToGrid w:val="0"/>
              <w:jc w:val="center"/>
              <w:rPr>
                <w:rFonts w:ascii="方正书宋_GBK" w:eastAsia="方正书宋_GBK"/>
                <w:b/>
              </w:rPr>
            </w:pPr>
            <w:r>
              <w:rPr>
                <w:rFonts w:ascii="方正书宋_GBK" w:eastAsia="方正书宋_GBK"/>
                <w:b/>
              </w:rPr>
              <w:t>三级</w:t>
            </w:r>
          </w:p>
          <w:p>
            <w:pPr>
              <w:overflowPunct w:val="0"/>
              <w:adjustRightInd w:val="0"/>
              <w:snapToGrid w:val="0"/>
              <w:jc w:val="center"/>
              <w:rPr>
                <w:rFonts w:ascii="方正书宋_GBK" w:eastAsia="方正书宋_GBK"/>
                <w:b/>
              </w:rPr>
            </w:pPr>
            <w:r>
              <w:rPr>
                <w:rFonts w:ascii="方正书宋_GBK" w:eastAsia="方正书宋_GBK"/>
                <w:b/>
              </w:rPr>
              <w:t>指标</w:t>
            </w:r>
          </w:p>
        </w:tc>
        <w:tc>
          <w:tcPr>
            <w:tcW w:w="1932" w:type="dxa"/>
            <w:vMerge w:val="restart"/>
            <w:noWrap w:val="0"/>
            <w:vAlign w:val="center"/>
          </w:tcPr>
          <w:p>
            <w:pPr>
              <w:overflowPunct w:val="0"/>
              <w:adjustRightInd w:val="0"/>
              <w:snapToGrid w:val="0"/>
              <w:jc w:val="center"/>
              <w:rPr>
                <w:rFonts w:ascii="方正书宋_GBK" w:eastAsia="方正书宋_GBK"/>
                <w:b/>
              </w:rPr>
            </w:pPr>
            <w:r>
              <w:rPr>
                <w:rFonts w:ascii="方正书宋_GBK" w:eastAsia="方正书宋_GBK"/>
                <w:b/>
              </w:rPr>
              <w:t>评（扣）分标准</w:t>
            </w:r>
          </w:p>
        </w:tc>
        <w:tc>
          <w:tcPr>
            <w:tcW w:w="1497" w:type="dxa"/>
            <w:vMerge w:val="restart"/>
            <w:noWrap w:val="0"/>
            <w:vAlign w:val="center"/>
          </w:tcPr>
          <w:p>
            <w:pPr>
              <w:overflowPunct w:val="0"/>
              <w:adjustRightInd w:val="0"/>
              <w:snapToGrid w:val="0"/>
              <w:jc w:val="center"/>
              <w:rPr>
                <w:rFonts w:ascii="方正书宋_GBK" w:eastAsia="方正书宋_GBK"/>
                <w:b/>
              </w:rPr>
            </w:pPr>
            <w:r>
              <w:rPr>
                <w:rFonts w:ascii="方正书宋_GBK" w:eastAsia="方正书宋_GBK"/>
                <w:b/>
              </w:rPr>
              <w:t>绩效指标</w:t>
            </w:r>
          </w:p>
          <w:p>
            <w:pPr>
              <w:overflowPunct w:val="0"/>
              <w:adjustRightInd w:val="0"/>
              <w:snapToGrid w:val="0"/>
              <w:jc w:val="center"/>
              <w:rPr>
                <w:rFonts w:ascii="方正书宋_GBK" w:eastAsia="方正书宋_GBK"/>
                <w:b/>
              </w:rPr>
            </w:pPr>
            <w:r>
              <w:rPr>
                <w:rFonts w:ascii="方正书宋_GBK" w:eastAsia="方正书宋_GBK"/>
                <w:b/>
              </w:rPr>
              <w:t>描述</w:t>
            </w:r>
          </w:p>
        </w:tc>
        <w:tc>
          <w:tcPr>
            <w:tcW w:w="1708" w:type="dxa"/>
            <w:gridSpan w:val="3"/>
            <w:noWrap w:val="0"/>
            <w:vAlign w:val="center"/>
          </w:tcPr>
          <w:p>
            <w:pPr>
              <w:overflowPunct w:val="0"/>
              <w:adjustRightInd w:val="0"/>
              <w:snapToGrid w:val="0"/>
              <w:jc w:val="center"/>
              <w:rPr>
                <w:rFonts w:ascii="方正书宋_GBK" w:eastAsia="方正书宋_GBK"/>
                <w:b/>
              </w:rPr>
            </w:pPr>
            <w:r>
              <w:rPr>
                <w:rFonts w:ascii="方正书宋_GBK" w:eastAsia="方正书宋_GBK"/>
                <w:b/>
              </w:rPr>
              <w:t>指标值</w:t>
            </w:r>
          </w:p>
        </w:tc>
        <w:tc>
          <w:tcPr>
            <w:tcW w:w="1428" w:type="dxa"/>
            <w:vMerge w:val="restart"/>
            <w:noWrap w:val="0"/>
            <w:vAlign w:val="center"/>
          </w:tcPr>
          <w:p>
            <w:pPr>
              <w:overflowPunct w:val="0"/>
              <w:adjustRightInd w:val="0"/>
              <w:snapToGrid w:val="0"/>
              <w:jc w:val="center"/>
              <w:rPr>
                <w:rFonts w:ascii="方正书宋_GBK" w:eastAsia="方正书宋_GBK"/>
                <w:b/>
              </w:rPr>
            </w:pPr>
            <w:r>
              <w:rPr>
                <w:rFonts w:ascii="方正书宋_GBK" w:eastAsia="方正书宋_GBK"/>
                <w:b/>
              </w:rPr>
              <w:t>指标值</w:t>
            </w:r>
          </w:p>
          <w:p>
            <w:pPr>
              <w:overflowPunct w:val="0"/>
              <w:adjustRightInd w:val="0"/>
              <w:snapToGrid w:val="0"/>
              <w:jc w:val="center"/>
              <w:rPr>
                <w:rFonts w:ascii="方正书宋_GBK" w:eastAsia="方正书宋_GBK"/>
                <w:b/>
              </w:rPr>
            </w:pPr>
            <w:r>
              <w:rPr>
                <w:rFonts w:ascii="方正书宋_GBK" w:eastAsia="方正书宋_GBK"/>
                <w:b/>
              </w:rPr>
              <w:t>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trHeight w:val="340" w:hRule="atLeast"/>
          <w:tblHeader/>
          <w:jc w:val="center"/>
        </w:trPr>
        <w:tc>
          <w:tcPr>
            <w:tcW w:w="625" w:type="dxa"/>
            <w:vMerge w:val="continue"/>
            <w:noWrap w:val="0"/>
            <w:vAlign w:val="center"/>
          </w:tcPr>
          <w:p>
            <w:pPr>
              <w:overflowPunct w:val="0"/>
              <w:jc w:val="center"/>
              <w:rPr>
                <w:rFonts w:ascii="方正书宋_GBK" w:eastAsia="方正书宋_GBK"/>
                <w:b/>
              </w:rPr>
            </w:pPr>
          </w:p>
        </w:tc>
        <w:tc>
          <w:tcPr>
            <w:tcW w:w="728" w:type="dxa"/>
            <w:vMerge w:val="continue"/>
            <w:noWrap w:val="0"/>
            <w:vAlign w:val="center"/>
          </w:tcPr>
          <w:p>
            <w:pPr>
              <w:overflowPunct w:val="0"/>
              <w:jc w:val="center"/>
              <w:rPr>
                <w:rFonts w:ascii="方正书宋_GBK" w:eastAsia="方正书宋_GBK"/>
                <w:b/>
              </w:rPr>
            </w:pPr>
          </w:p>
        </w:tc>
        <w:tc>
          <w:tcPr>
            <w:tcW w:w="1148" w:type="dxa"/>
            <w:vMerge w:val="continue"/>
            <w:noWrap w:val="0"/>
            <w:vAlign w:val="center"/>
          </w:tcPr>
          <w:p>
            <w:pPr>
              <w:overflowPunct w:val="0"/>
              <w:jc w:val="center"/>
              <w:rPr>
                <w:rFonts w:ascii="方正书宋_GBK" w:eastAsia="方正书宋_GBK"/>
                <w:b/>
              </w:rPr>
            </w:pPr>
          </w:p>
        </w:tc>
        <w:tc>
          <w:tcPr>
            <w:tcW w:w="1932" w:type="dxa"/>
            <w:vMerge w:val="continue"/>
            <w:noWrap w:val="0"/>
            <w:vAlign w:val="center"/>
          </w:tcPr>
          <w:p>
            <w:pPr>
              <w:overflowPunct w:val="0"/>
              <w:jc w:val="center"/>
              <w:rPr>
                <w:rFonts w:ascii="方正书宋_GBK" w:eastAsia="方正书宋_GBK"/>
                <w:b/>
              </w:rPr>
            </w:pPr>
          </w:p>
        </w:tc>
        <w:tc>
          <w:tcPr>
            <w:tcW w:w="1497" w:type="dxa"/>
            <w:vMerge w:val="continue"/>
            <w:noWrap w:val="0"/>
            <w:vAlign w:val="center"/>
          </w:tcPr>
          <w:p>
            <w:pPr>
              <w:overflowPunct w:val="0"/>
              <w:jc w:val="center"/>
              <w:rPr>
                <w:rFonts w:ascii="方正书宋_GBK" w:eastAsia="方正书宋_GBK"/>
                <w:b/>
              </w:rPr>
            </w:pPr>
          </w:p>
        </w:tc>
        <w:tc>
          <w:tcPr>
            <w:tcW w:w="560" w:type="dxa"/>
            <w:noWrap w:val="0"/>
            <w:vAlign w:val="center"/>
          </w:tcPr>
          <w:p>
            <w:pPr>
              <w:overflowPunct w:val="0"/>
              <w:adjustRightInd w:val="0"/>
              <w:snapToGrid w:val="0"/>
              <w:jc w:val="center"/>
              <w:rPr>
                <w:rFonts w:ascii="方正书宋_GBK" w:eastAsia="方正书宋_GBK"/>
                <w:b/>
              </w:rPr>
            </w:pPr>
            <w:r>
              <w:rPr>
                <w:rFonts w:ascii="方正书宋_GBK" w:eastAsia="方正书宋_GBK"/>
                <w:b/>
              </w:rPr>
              <w:t>符号</w:t>
            </w:r>
          </w:p>
        </w:tc>
        <w:tc>
          <w:tcPr>
            <w:tcW w:w="672" w:type="dxa"/>
            <w:noWrap w:val="0"/>
            <w:vAlign w:val="center"/>
          </w:tcPr>
          <w:p>
            <w:pPr>
              <w:overflowPunct w:val="0"/>
              <w:adjustRightInd w:val="0"/>
              <w:snapToGrid w:val="0"/>
              <w:jc w:val="center"/>
              <w:rPr>
                <w:rFonts w:ascii="方正书宋_GBK" w:eastAsia="方正书宋_GBK"/>
                <w:b/>
              </w:rPr>
            </w:pPr>
            <w:r>
              <w:rPr>
                <w:rFonts w:ascii="方正书宋_GBK" w:eastAsia="方正书宋_GBK"/>
                <w:b/>
              </w:rPr>
              <w:t>值</w:t>
            </w:r>
          </w:p>
        </w:tc>
        <w:tc>
          <w:tcPr>
            <w:tcW w:w="476" w:type="dxa"/>
            <w:noWrap w:val="0"/>
            <w:vAlign w:val="center"/>
          </w:tcPr>
          <w:p>
            <w:pPr>
              <w:overflowPunct w:val="0"/>
              <w:adjustRightInd w:val="0"/>
              <w:snapToGrid w:val="0"/>
              <w:jc w:val="center"/>
              <w:rPr>
                <w:rFonts w:ascii="方正书宋_GBK" w:eastAsia="方正书宋_GBK"/>
                <w:b/>
              </w:rPr>
            </w:pPr>
            <w:r>
              <w:rPr>
                <w:rFonts w:ascii="方正书宋_GBK" w:eastAsia="方正书宋_GBK"/>
                <w:b/>
              </w:rPr>
              <w:t>单位</w:t>
            </w:r>
          </w:p>
        </w:tc>
        <w:tc>
          <w:tcPr>
            <w:tcW w:w="1428" w:type="dxa"/>
            <w:vMerge w:val="continue"/>
            <w:noWrap w:val="0"/>
            <w:vAlign w:val="center"/>
          </w:tcPr>
          <w:p>
            <w:pPr>
              <w:overflowPunct w:val="0"/>
              <w:jc w:val="center"/>
              <w:rPr>
                <w:rFonts w:ascii="方正书宋_GBK" w:eastAsia="方正书宋_GBK"/>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1560" w:hRule="atLeast"/>
          <w:jc w:val="center"/>
        </w:trPr>
        <w:tc>
          <w:tcPr>
            <w:tcW w:w="625" w:type="dxa"/>
            <w:vMerge w:val="restart"/>
            <w:noWrap w:val="0"/>
            <w:vAlign w:val="center"/>
          </w:tcPr>
          <w:p>
            <w:pPr>
              <w:overflowPunct w:val="0"/>
              <w:adjustRightInd w:val="0"/>
              <w:snapToGrid w:val="0"/>
              <w:jc w:val="center"/>
              <w:rPr>
                <w:rFonts w:ascii="方正书宋_GBK" w:eastAsia="方正书宋_GBK"/>
              </w:rPr>
            </w:pPr>
            <w:r>
              <w:rPr>
                <w:rFonts w:ascii="方正书宋_GBK" w:eastAsia="方正书宋_GBK"/>
              </w:rPr>
              <w:t>部门产出</w:t>
            </w:r>
          </w:p>
        </w:tc>
        <w:tc>
          <w:tcPr>
            <w:tcW w:w="728" w:type="dxa"/>
            <w:vMerge w:val="restart"/>
            <w:noWrap w:val="0"/>
            <w:vAlign w:val="center"/>
          </w:tcPr>
          <w:p>
            <w:pPr>
              <w:overflowPunct w:val="0"/>
              <w:adjustRightInd w:val="0"/>
              <w:snapToGrid w:val="0"/>
              <w:jc w:val="center"/>
              <w:rPr>
                <w:rFonts w:ascii="方正书宋_GBK" w:eastAsia="方正书宋_GBK"/>
              </w:rPr>
            </w:pPr>
            <w:r>
              <w:rPr>
                <w:rFonts w:ascii="方正书宋_GBK" w:eastAsia="方正书宋_GBK"/>
              </w:rPr>
              <w:t>数量</w:t>
            </w:r>
          </w:p>
        </w:tc>
        <w:tc>
          <w:tcPr>
            <w:tcW w:w="1148" w:type="dxa"/>
            <w:noWrap w:val="0"/>
            <w:vAlign w:val="center"/>
          </w:tcPr>
          <w:p>
            <w:pPr>
              <w:overflowPunct w:val="0"/>
              <w:adjustRightInd w:val="0"/>
              <w:snapToGrid w:val="0"/>
              <w:rPr>
                <w:rFonts w:ascii="方正书宋_GBK" w:eastAsia="方正书宋_GBK"/>
              </w:rPr>
            </w:pPr>
            <w:r>
              <w:rPr>
                <w:rFonts w:ascii="方正书宋_GBK" w:eastAsia="方正书宋_GBK"/>
              </w:rPr>
              <w:t>项目培训及观摩拉练次数</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每减少1次，扣权重分的50%</w:t>
            </w:r>
          </w:p>
        </w:tc>
        <w:tc>
          <w:tcPr>
            <w:tcW w:w="1497" w:type="dxa"/>
            <w:noWrap w:val="0"/>
            <w:vAlign w:val="center"/>
          </w:tcPr>
          <w:p>
            <w:pPr>
              <w:overflowPunct w:val="0"/>
              <w:adjustRightInd w:val="0"/>
              <w:snapToGrid w:val="0"/>
              <w:rPr>
                <w:rFonts w:ascii="方正书宋_GBK" w:eastAsia="方正书宋_GBK"/>
              </w:rPr>
            </w:pPr>
            <w:r>
              <w:rPr>
                <w:rFonts w:ascii="方正书宋_GBK" w:eastAsia="方正书宋_GBK"/>
              </w:rPr>
              <w:t>该指标主要考核市委、市政府安排组织重大项目培训及项目观摩拉练次数</w:t>
            </w:r>
          </w:p>
        </w:tc>
        <w:tc>
          <w:tcPr>
            <w:tcW w:w="560" w:type="dxa"/>
            <w:noWrap w:val="0"/>
            <w:vAlign w:val="center"/>
          </w:tcPr>
          <w:p>
            <w:pPr>
              <w:overflowPunct w:val="0"/>
              <w:jc w:val="center"/>
              <w:textAlignment w:val="center"/>
              <w:rPr>
                <w:rFonts w:ascii="方正书宋_GBK" w:eastAsia="方正书宋_GBK"/>
              </w:rPr>
            </w:pPr>
            <w:r>
              <w:rPr>
                <w:rFonts w:ascii="方正书宋_GBK" w:eastAsia="方正书宋_GBK"/>
              </w:rPr>
              <w:t>≥</w:t>
            </w:r>
          </w:p>
        </w:tc>
        <w:tc>
          <w:tcPr>
            <w:tcW w:w="672" w:type="dxa"/>
            <w:noWrap w:val="0"/>
            <w:vAlign w:val="center"/>
          </w:tcPr>
          <w:p>
            <w:pPr>
              <w:overflowPunct w:val="0"/>
              <w:jc w:val="center"/>
              <w:textAlignment w:val="center"/>
              <w:rPr>
                <w:rFonts w:ascii="方正书宋_GBK" w:eastAsia="方正书宋_GBK"/>
              </w:rPr>
            </w:pPr>
            <w:r>
              <w:rPr>
                <w:rFonts w:ascii="方正书宋_GBK" w:eastAsia="方正书宋_GBK"/>
              </w:rPr>
              <w:t>3</w:t>
            </w:r>
          </w:p>
        </w:tc>
        <w:tc>
          <w:tcPr>
            <w:tcW w:w="476" w:type="dxa"/>
            <w:noWrap w:val="0"/>
            <w:vAlign w:val="center"/>
          </w:tcPr>
          <w:p>
            <w:pPr>
              <w:overflowPunct w:val="0"/>
              <w:jc w:val="center"/>
              <w:textAlignment w:val="center"/>
              <w:rPr>
                <w:rFonts w:ascii="方正书宋_GBK" w:eastAsia="方正书宋_GBK"/>
              </w:rPr>
            </w:pPr>
            <w:r>
              <w:rPr>
                <w:rFonts w:ascii="方正书宋_GBK" w:eastAsia="方正书宋_GBK"/>
              </w:rPr>
              <w:t>次</w:t>
            </w:r>
          </w:p>
        </w:tc>
        <w:tc>
          <w:tcPr>
            <w:tcW w:w="1428" w:type="dxa"/>
            <w:noWrap w:val="0"/>
            <w:vAlign w:val="center"/>
          </w:tcPr>
          <w:p>
            <w:pPr>
              <w:overflowPunct w:val="0"/>
              <w:textAlignment w:val="center"/>
              <w:rPr>
                <w:rFonts w:ascii="方正书宋_GBK" w:eastAsia="方正书宋_GBK"/>
              </w:rPr>
            </w:pPr>
            <w:r>
              <w:rPr>
                <w:rFonts w:ascii="方正书宋_GBK" w:eastAsia="方正书宋_GBK"/>
              </w:rPr>
              <w:t>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944" w:hRule="atLeast"/>
          <w:jc w:val="center"/>
        </w:trPr>
        <w:tc>
          <w:tcPr>
            <w:tcW w:w="625" w:type="dxa"/>
            <w:vMerge w:val="continue"/>
            <w:noWrap w:val="0"/>
            <w:vAlign w:val="center"/>
          </w:tcPr>
          <w:p>
            <w:pPr>
              <w:overflowPunct w:val="0"/>
              <w:adjustRightInd w:val="0"/>
              <w:snapToGrid w:val="0"/>
              <w:jc w:val="center"/>
              <w:rPr>
                <w:rFonts w:ascii="方正书宋_GBK" w:eastAsia="方正书宋_GBK"/>
              </w:rPr>
            </w:pPr>
          </w:p>
        </w:tc>
        <w:tc>
          <w:tcPr>
            <w:tcW w:w="728" w:type="dxa"/>
            <w:vMerge w:val="continue"/>
            <w:noWrap w:val="0"/>
            <w:vAlign w:val="center"/>
          </w:tcPr>
          <w:p>
            <w:pPr>
              <w:overflowPunct w:val="0"/>
              <w:adjustRightInd w:val="0"/>
              <w:snapToGrid w:val="0"/>
              <w:jc w:val="center"/>
              <w:rPr>
                <w:rFonts w:ascii="方正书宋_GBK" w:eastAsia="方正书宋_GBK"/>
              </w:rPr>
            </w:pPr>
          </w:p>
        </w:tc>
        <w:tc>
          <w:tcPr>
            <w:tcW w:w="1148" w:type="dxa"/>
            <w:noWrap w:val="0"/>
            <w:vAlign w:val="center"/>
          </w:tcPr>
          <w:p>
            <w:pPr>
              <w:overflowPunct w:val="0"/>
              <w:textAlignment w:val="center"/>
              <w:rPr>
                <w:rFonts w:ascii="方正书宋_GBK" w:eastAsia="方正书宋_GBK"/>
              </w:rPr>
            </w:pPr>
            <w:r>
              <w:rPr>
                <w:rFonts w:ascii="方正书宋_GBK" w:eastAsia="方正书宋_GBK"/>
              </w:rPr>
              <w:t>政府门户网站访问次数</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每减少10000次，扣权重分的10%</w:t>
            </w:r>
          </w:p>
        </w:tc>
        <w:tc>
          <w:tcPr>
            <w:tcW w:w="1497" w:type="dxa"/>
            <w:noWrap w:val="0"/>
            <w:vAlign w:val="center"/>
          </w:tcPr>
          <w:p>
            <w:pPr>
              <w:overflowPunct w:val="0"/>
              <w:adjustRightInd w:val="0"/>
              <w:snapToGrid w:val="0"/>
              <w:rPr>
                <w:rFonts w:ascii="方正书宋_GBK" w:eastAsia="方正书宋_GBK"/>
              </w:rPr>
            </w:pPr>
            <w:r>
              <w:rPr>
                <w:rFonts w:ascii="方正书宋_GBK" w:eastAsia="方正书宋_GBK"/>
              </w:rPr>
              <w:t>该指标主要考核政府门户网站年度访问量</w:t>
            </w:r>
          </w:p>
        </w:tc>
        <w:tc>
          <w:tcPr>
            <w:tcW w:w="560" w:type="dxa"/>
            <w:noWrap w:val="0"/>
            <w:vAlign w:val="center"/>
          </w:tcPr>
          <w:p>
            <w:pPr>
              <w:overflowPunct w:val="0"/>
              <w:jc w:val="center"/>
              <w:textAlignment w:val="center"/>
              <w:rPr>
                <w:rFonts w:ascii="方正书宋_GBK" w:eastAsia="方正书宋_GBK"/>
              </w:rPr>
            </w:pPr>
            <w:r>
              <w:rPr>
                <w:rFonts w:ascii="方正书宋_GBK" w:eastAsia="方正书宋_GBK"/>
              </w:rPr>
              <w:t>≥</w:t>
            </w:r>
          </w:p>
        </w:tc>
        <w:tc>
          <w:tcPr>
            <w:tcW w:w="672" w:type="dxa"/>
            <w:noWrap w:val="0"/>
            <w:vAlign w:val="center"/>
          </w:tcPr>
          <w:p>
            <w:pPr>
              <w:overflowPunct w:val="0"/>
              <w:jc w:val="center"/>
              <w:textAlignment w:val="center"/>
              <w:rPr>
                <w:rFonts w:ascii="方正书宋_GBK" w:eastAsia="方正书宋_GBK"/>
              </w:rPr>
            </w:pPr>
            <w:r>
              <w:rPr>
                <w:rFonts w:ascii="方正书宋_GBK" w:eastAsia="方正书宋_GBK"/>
              </w:rPr>
              <w:t>250000</w:t>
            </w:r>
          </w:p>
        </w:tc>
        <w:tc>
          <w:tcPr>
            <w:tcW w:w="476" w:type="dxa"/>
            <w:noWrap w:val="0"/>
            <w:vAlign w:val="center"/>
          </w:tcPr>
          <w:p>
            <w:pPr>
              <w:overflowPunct w:val="0"/>
              <w:jc w:val="center"/>
              <w:textAlignment w:val="center"/>
              <w:rPr>
                <w:rFonts w:ascii="方正书宋_GBK" w:eastAsia="方正书宋_GBK"/>
              </w:rPr>
            </w:pPr>
            <w:r>
              <w:rPr>
                <w:rFonts w:ascii="方正书宋_GBK" w:eastAsia="方正书宋_GBK"/>
              </w:rPr>
              <w:t>次</w:t>
            </w:r>
          </w:p>
        </w:tc>
        <w:tc>
          <w:tcPr>
            <w:tcW w:w="1428" w:type="dxa"/>
            <w:noWrap w:val="0"/>
            <w:vAlign w:val="center"/>
          </w:tcPr>
          <w:p>
            <w:pPr>
              <w:overflowPunct w:val="0"/>
              <w:textAlignment w:val="center"/>
              <w:rPr>
                <w:rFonts w:ascii="方正书宋_GBK" w:eastAsia="方正书宋_GBK"/>
              </w:rPr>
            </w:pPr>
            <w:r>
              <w:rPr>
                <w:rFonts w:ascii="方正书宋_GBK" w:eastAsia="方正书宋_GBK"/>
              </w:rPr>
              <w:t>历史数据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1182" w:hRule="atLeast"/>
          <w:jc w:val="center"/>
        </w:trPr>
        <w:tc>
          <w:tcPr>
            <w:tcW w:w="625" w:type="dxa"/>
            <w:vMerge w:val="continue"/>
            <w:noWrap w:val="0"/>
            <w:vAlign w:val="center"/>
          </w:tcPr>
          <w:p>
            <w:pPr>
              <w:overflowPunct w:val="0"/>
              <w:adjustRightInd w:val="0"/>
              <w:snapToGrid w:val="0"/>
              <w:jc w:val="center"/>
              <w:rPr>
                <w:rFonts w:ascii="方正书宋_GBK" w:eastAsia="方正书宋_GBK"/>
              </w:rPr>
            </w:pPr>
          </w:p>
        </w:tc>
        <w:tc>
          <w:tcPr>
            <w:tcW w:w="728" w:type="dxa"/>
            <w:vMerge w:val="continue"/>
            <w:noWrap w:val="0"/>
            <w:vAlign w:val="center"/>
          </w:tcPr>
          <w:p>
            <w:pPr>
              <w:overflowPunct w:val="0"/>
              <w:adjustRightInd w:val="0"/>
              <w:snapToGrid w:val="0"/>
              <w:jc w:val="center"/>
              <w:rPr>
                <w:rFonts w:ascii="方正书宋_GBK" w:eastAsia="方正书宋_GBK"/>
              </w:rPr>
            </w:pPr>
          </w:p>
        </w:tc>
        <w:tc>
          <w:tcPr>
            <w:tcW w:w="1148" w:type="dxa"/>
            <w:noWrap w:val="0"/>
            <w:vAlign w:val="center"/>
          </w:tcPr>
          <w:p>
            <w:pPr>
              <w:overflowPunct w:val="0"/>
              <w:textAlignment w:val="center"/>
              <w:rPr>
                <w:rFonts w:ascii="方正书宋_GBK" w:eastAsia="方正书宋_GBK"/>
              </w:rPr>
            </w:pPr>
            <w:r>
              <w:rPr>
                <w:rFonts w:ascii="方正书宋_GBK" w:eastAsia="方正书宋_GBK"/>
              </w:rPr>
              <w:t>组织对接京津活动次数</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完成1次即得满分，否则不得分</w:t>
            </w:r>
          </w:p>
        </w:tc>
        <w:tc>
          <w:tcPr>
            <w:tcW w:w="1497" w:type="dxa"/>
            <w:noWrap w:val="0"/>
            <w:vAlign w:val="center"/>
          </w:tcPr>
          <w:p>
            <w:pPr>
              <w:overflowPunct w:val="0"/>
              <w:textAlignment w:val="top"/>
              <w:rPr>
                <w:rFonts w:ascii="方正书宋_GBK" w:eastAsia="方正书宋_GBK"/>
              </w:rPr>
            </w:pPr>
            <w:r>
              <w:rPr>
                <w:rFonts w:ascii="方正书宋_GBK" w:eastAsia="方正书宋_GBK"/>
              </w:rPr>
              <w:t>该指标主要考核组织召开或参加京津协同发展会议次数</w:t>
            </w:r>
          </w:p>
        </w:tc>
        <w:tc>
          <w:tcPr>
            <w:tcW w:w="560" w:type="dxa"/>
            <w:noWrap w:val="0"/>
            <w:vAlign w:val="center"/>
          </w:tcPr>
          <w:p>
            <w:pPr>
              <w:overflowPunct w:val="0"/>
              <w:adjustRightInd w:val="0"/>
              <w:snapToGrid w:val="0"/>
              <w:jc w:val="center"/>
              <w:rPr>
                <w:rFonts w:ascii="方正书宋_GBK" w:eastAsia="方正书宋_GBK"/>
              </w:rPr>
            </w:pPr>
            <w:r>
              <w:rPr>
                <w:rFonts w:ascii="方正书宋_GBK" w:eastAsia="方正书宋_GBK"/>
              </w:rPr>
              <w:t>≥</w:t>
            </w:r>
          </w:p>
        </w:tc>
        <w:tc>
          <w:tcPr>
            <w:tcW w:w="672" w:type="dxa"/>
            <w:noWrap w:val="0"/>
            <w:vAlign w:val="center"/>
          </w:tcPr>
          <w:p>
            <w:pPr>
              <w:overflowPunct w:val="0"/>
              <w:adjustRightInd w:val="0"/>
              <w:snapToGrid w:val="0"/>
              <w:jc w:val="center"/>
              <w:rPr>
                <w:rFonts w:ascii="方正书宋_GBK" w:eastAsia="方正书宋_GBK"/>
              </w:rPr>
            </w:pPr>
            <w:r>
              <w:rPr>
                <w:rFonts w:ascii="方正书宋_GBK" w:eastAsia="方正书宋_GBK"/>
              </w:rPr>
              <w:t>1</w:t>
            </w:r>
          </w:p>
        </w:tc>
        <w:tc>
          <w:tcPr>
            <w:tcW w:w="476" w:type="dxa"/>
            <w:noWrap w:val="0"/>
            <w:vAlign w:val="center"/>
          </w:tcPr>
          <w:p>
            <w:pPr>
              <w:overflowPunct w:val="0"/>
              <w:adjustRightInd w:val="0"/>
              <w:snapToGrid w:val="0"/>
              <w:jc w:val="center"/>
              <w:rPr>
                <w:rFonts w:ascii="方正书宋_GBK" w:eastAsia="方正书宋_GBK"/>
              </w:rPr>
            </w:pPr>
            <w:r>
              <w:rPr>
                <w:rFonts w:ascii="方正书宋_GBK" w:eastAsia="方正书宋_GBK"/>
              </w:rPr>
              <w:t>次</w:t>
            </w:r>
          </w:p>
        </w:tc>
        <w:tc>
          <w:tcPr>
            <w:tcW w:w="1428" w:type="dxa"/>
            <w:noWrap w:val="0"/>
            <w:vAlign w:val="center"/>
          </w:tcPr>
          <w:p>
            <w:pPr>
              <w:overflowPunct w:val="0"/>
              <w:adjustRightInd w:val="0"/>
              <w:snapToGrid w:val="0"/>
              <w:rPr>
                <w:rFonts w:ascii="方正书宋_GBK" w:eastAsia="方正书宋_GBK"/>
              </w:rPr>
            </w:pPr>
            <w:r>
              <w:rPr>
                <w:rFonts w:ascii="方正书宋_GBK" w:eastAsia="方正书宋_GBK"/>
              </w:rPr>
              <w:t>会议方案、会议通知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945" w:hRule="atLeast"/>
          <w:jc w:val="center"/>
        </w:trPr>
        <w:tc>
          <w:tcPr>
            <w:tcW w:w="625" w:type="dxa"/>
            <w:vMerge w:val="continue"/>
            <w:noWrap w:val="0"/>
            <w:vAlign w:val="center"/>
          </w:tcPr>
          <w:p>
            <w:pPr>
              <w:overflowPunct w:val="0"/>
              <w:adjustRightInd w:val="0"/>
              <w:snapToGrid w:val="0"/>
              <w:jc w:val="center"/>
              <w:rPr>
                <w:rFonts w:ascii="方正书宋_GBK" w:eastAsia="方正书宋_GBK"/>
              </w:rPr>
            </w:pPr>
          </w:p>
        </w:tc>
        <w:tc>
          <w:tcPr>
            <w:tcW w:w="728" w:type="dxa"/>
            <w:vMerge w:val="continue"/>
            <w:noWrap w:val="0"/>
            <w:vAlign w:val="center"/>
          </w:tcPr>
          <w:p>
            <w:pPr>
              <w:overflowPunct w:val="0"/>
              <w:adjustRightInd w:val="0"/>
              <w:snapToGrid w:val="0"/>
              <w:jc w:val="center"/>
              <w:rPr>
                <w:rFonts w:ascii="方正书宋_GBK" w:eastAsia="方正书宋_GBK"/>
              </w:rPr>
            </w:pPr>
          </w:p>
        </w:tc>
        <w:tc>
          <w:tcPr>
            <w:tcW w:w="1148" w:type="dxa"/>
            <w:noWrap w:val="0"/>
            <w:vAlign w:val="center"/>
          </w:tcPr>
          <w:p>
            <w:pPr>
              <w:overflowPunct w:val="0"/>
              <w:textAlignment w:val="center"/>
              <w:rPr>
                <w:rFonts w:ascii="方正书宋_GBK" w:eastAsia="方正书宋_GBK"/>
              </w:rPr>
            </w:pPr>
            <w:r>
              <w:rPr>
                <w:rFonts w:ascii="方正书宋_GBK" w:eastAsia="方正书宋_GBK"/>
              </w:rPr>
              <w:t>参与优化营商环境培训人数</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每减少5人，扣权重分的20%</w:t>
            </w:r>
          </w:p>
        </w:tc>
        <w:tc>
          <w:tcPr>
            <w:tcW w:w="1497" w:type="dxa"/>
            <w:noWrap w:val="0"/>
            <w:vAlign w:val="center"/>
          </w:tcPr>
          <w:p>
            <w:pPr>
              <w:overflowPunct w:val="0"/>
              <w:textAlignment w:val="top"/>
              <w:rPr>
                <w:rFonts w:ascii="方正书宋_GBK" w:eastAsia="方正书宋_GBK"/>
              </w:rPr>
            </w:pPr>
            <w:r>
              <w:rPr>
                <w:rFonts w:ascii="方正书宋_GBK" w:eastAsia="方正书宋_GBK"/>
              </w:rPr>
              <w:t>该指标主要考核优化营商环境培训会参会人数</w:t>
            </w:r>
          </w:p>
        </w:tc>
        <w:tc>
          <w:tcPr>
            <w:tcW w:w="560" w:type="dxa"/>
            <w:noWrap w:val="0"/>
            <w:vAlign w:val="center"/>
          </w:tcPr>
          <w:p>
            <w:pPr>
              <w:overflowPunct w:val="0"/>
              <w:adjustRightInd w:val="0"/>
              <w:snapToGrid w:val="0"/>
              <w:jc w:val="center"/>
              <w:rPr>
                <w:rFonts w:ascii="方正书宋_GBK" w:eastAsia="方正书宋_GBK"/>
              </w:rPr>
            </w:pPr>
            <w:r>
              <w:rPr>
                <w:rFonts w:ascii="方正书宋_GBK" w:eastAsia="方正书宋_GBK"/>
              </w:rPr>
              <w:t>≥</w:t>
            </w:r>
          </w:p>
        </w:tc>
        <w:tc>
          <w:tcPr>
            <w:tcW w:w="672" w:type="dxa"/>
            <w:noWrap w:val="0"/>
            <w:vAlign w:val="center"/>
          </w:tcPr>
          <w:p>
            <w:pPr>
              <w:overflowPunct w:val="0"/>
              <w:adjustRightInd w:val="0"/>
              <w:snapToGrid w:val="0"/>
              <w:jc w:val="center"/>
              <w:rPr>
                <w:rFonts w:ascii="方正书宋_GBK" w:eastAsia="方正书宋_GBK"/>
              </w:rPr>
            </w:pPr>
            <w:r>
              <w:rPr>
                <w:rFonts w:ascii="方正书宋_GBK" w:eastAsia="方正书宋_GBK"/>
              </w:rPr>
              <w:t>60</w:t>
            </w:r>
          </w:p>
        </w:tc>
        <w:tc>
          <w:tcPr>
            <w:tcW w:w="476" w:type="dxa"/>
            <w:noWrap w:val="0"/>
            <w:vAlign w:val="center"/>
          </w:tcPr>
          <w:p>
            <w:pPr>
              <w:overflowPunct w:val="0"/>
              <w:adjustRightInd w:val="0"/>
              <w:snapToGrid w:val="0"/>
              <w:jc w:val="center"/>
              <w:rPr>
                <w:rFonts w:ascii="方正书宋_GBK" w:eastAsia="方正书宋_GBK"/>
              </w:rPr>
            </w:pPr>
            <w:r>
              <w:rPr>
                <w:rFonts w:ascii="方正书宋_GBK" w:eastAsia="方正书宋_GBK"/>
              </w:rPr>
              <w:t>人</w:t>
            </w:r>
          </w:p>
        </w:tc>
        <w:tc>
          <w:tcPr>
            <w:tcW w:w="1428" w:type="dxa"/>
            <w:noWrap w:val="0"/>
            <w:vAlign w:val="center"/>
          </w:tcPr>
          <w:p>
            <w:pPr>
              <w:overflowPunct w:val="0"/>
              <w:adjustRightInd w:val="0"/>
              <w:snapToGrid w:val="0"/>
              <w:rPr>
                <w:rFonts w:ascii="方正书宋_GBK" w:eastAsia="方正书宋_GBK"/>
              </w:rPr>
            </w:pPr>
            <w:r>
              <w:rPr>
                <w:rFonts w:ascii="方正书宋_GBK" w:eastAsia="方正书宋_GBK"/>
              </w:rPr>
              <w:t>工作计划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1251" w:hRule="atLeast"/>
          <w:jc w:val="center"/>
        </w:trPr>
        <w:tc>
          <w:tcPr>
            <w:tcW w:w="625" w:type="dxa"/>
            <w:vMerge w:val="continue"/>
            <w:noWrap w:val="0"/>
            <w:vAlign w:val="center"/>
          </w:tcPr>
          <w:p>
            <w:pPr>
              <w:overflowPunct w:val="0"/>
              <w:adjustRightInd w:val="0"/>
              <w:snapToGrid w:val="0"/>
              <w:jc w:val="center"/>
              <w:rPr>
                <w:rFonts w:ascii="方正书宋_GBK" w:eastAsia="方正书宋_GBK"/>
              </w:rPr>
            </w:pPr>
          </w:p>
        </w:tc>
        <w:tc>
          <w:tcPr>
            <w:tcW w:w="728" w:type="dxa"/>
            <w:vMerge w:val="continue"/>
            <w:noWrap w:val="0"/>
            <w:vAlign w:val="center"/>
          </w:tcPr>
          <w:p>
            <w:pPr>
              <w:overflowPunct w:val="0"/>
              <w:adjustRightInd w:val="0"/>
              <w:snapToGrid w:val="0"/>
              <w:jc w:val="center"/>
              <w:rPr>
                <w:rFonts w:ascii="方正书宋_GBK" w:eastAsia="方正书宋_GBK"/>
              </w:rPr>
            </w:pPr>
          </w:p>
        </w:tc>
        <w:tc>
          <w:tcPr>
            <w:tcW w:w="1148" w:type="dxa"/>
            <w:noWrap w:val="0"/>
            <w:vAlign w:val="center"/>
          </w:tcPr>
          <w:p>
            <w:pPr>
              <w:overflowPunct w:val="0"/>
              <w:textAlignment w:val="center"/>
              <w:rPr>
                <w:rFonts w:ascii="方正书宋_GBK" w:eastAsia="方正书宋_GBK"/>
              </w:rPr>
            </w:pPr>
            <w:r>
              <w:rPr>
                <w:rFonts w:ascii="方正书宋_GBK" w:eastAsia="方正书宋_GBK"/>
              </w:rPr>
              <w:t>奖补企业、项目及示范基地个数</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每减少1个，扣权重分的10%</w:t>
            </w:r>
          </w:p>
        </w:tc>
        <w:tc>
          <w:tcPr>
            <w:tcW w:w="1497" w:type="dxa"/>
            <w:noWrap w:val="0"/>
            <w:vAlign w:val="center"/>
          </w:tcPr>
          <w:p>
            <w:pPr>
              <w:overflowPunct w:val="0"/>
              <w:textAlignment w:val="center"/>
              <w:rPr>
                <w:rFonts w:ascii="方正书宋_GBK" w:eastAsia="方正书宋_GBK"/>
              </w:rPr>
            </w:pPr>
            <w:r>
              <w:rPr>
                <w:rFonts w:ascii="方正书宋_GBK" w:eastAsia="方正书宋_GBK"/>
              </w:rPr>
              <w:t>该指标主要考核符合奖补条件的企业、项目及奖补示范基地个数</w:t>
            </w:r>
          </w:p>
        </w:tc>
        <w:tc>
          <w:tcPr>
            <w:tcW w:w="560" w:type="dxa"/>
            <w:noWrap w:val="0"/>
            <w:vAlign w:val="center"/>
          </w:tcPr>
          <w:p>
            <w:pPr>
              <w:overflowPunct w:val="0"/>
              <w:adjustRightInd w:val="0"/>
              <w:snapToGrid w:val="0"/>
              <w:jc w:val="center"/>
              <w:rPr>
                <w:rFonts w:ascii="方正书宋_GBK" w:eastAsia="方正书宋_GBK"/>
              </w:rPr>
            </w:pPr>
            <w:r>
              <w:rPr>
                <w:rFonts w:ascii="方正书宋_GBK" w:eastAsia="方正书宋_GBK"/>
              </w:rPr>
              <w:t>≥</w:t>
            </w:r>
          </w:p>
        </w:tc>
        <w:tc>
          <w:tcPr>
            <w:tcW w:w="672" w:type="dxa"/>
            <w:noWrap w:val="0"/>
            <w:vAlign w:val="center"/>
          </w:tcPr>
          <w:p>
            <w:pPr>
              <w:overflowPunct w:val="0"/>
              <w:adjustRightInd w:val="0"/>
              <w:snapToGrid w:val="0"/>
              <w:jc w:val="center"/>
              <w:rPr>
                <w:rFonts w:ascii="方正书宋_GBK" w:eastAsia="方正书宋_GBK"/>
              </w:rPr>
            </w:pPr>
            <w:r>
              <w:rPr>
                <w:rFonts w:ascii="方正书宋_GBK" w:eastAsia="方正书宋_GBK"/>
              </w:rPr>
              <w:t>7</w:t>
            </w:r>
          </w:p>
        </w:tc>
        <w:tc>
          <w:tcPr>
            <w:tcW w:w="476" w:type="dxa"/>
            <w:noWrap w:val="0"/>
            <w:vAlign w:val="center"/>
          </w:tcPr>
          <w:p>
            <w:pPr>
              <w:overflowPunct w:val="0"/>
              <w:adjustRightInd w:val="0"/>
              <w:snapToGrid w:val="0"/>
              <w:jc w:val="center"/>
              <w:rPr>
                <w:rFonts w:ascii="方正书宋_GBK" w:eastAsia="方正书宋_GBK"/>
              </w:rPr>
            </w:pPr>
            <w:r>
              <w:rPr>
                <w:rFonts w:ascii="方正书宋_GBK" w:eastAsia="方正书宋_GBK"/>
              </w:rPr>
              <w:t>个</w:t>
            </w:r>
          </w:p>
        </w:tc>
        <w:tc>
          <w:tcPr>
            <w:tcW w:w="1428" w:type="dxa"/>
            <w:noWrap w:val="0"/>
            <w:vAlign w:val="center"/>
          </w:tcPr>
          <w:p>
            <w:pPr>
              <w:overflowPunct w:val="0"/>
              <w:adjustRightInd w:val="0"/>
              <w:snapToGrid w:val="0"/>
              <w:rPr>
                <w:rFonts w:ascii="方正书宋_GBK" w:eastAsia="方正书宋_GBK"/>
              </w:rPr>
            </w:pPr>
            <w:r>
              <w:rPr>
                <w:rFonts w:ascii="方正书宋_GBK" w:eastAsia="方正书宋_GBK"/>
              </w:rPr>
              <w:t>依据文件、委托合同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1308" w:hRule="atLeast"/>
          <w:jc w:val="center"/>
        </w:trPr>
        <w:tc>
          <w:tcPr>
            <w:tcW w:w="625" w:type="dxa"/>
            <w:vMerge w:val="continue"/>
            <w:noWrap w:val="0"/>
            <w:vAlign w:val="center"/>
          </w:tcPr>
          <w:p>
            <w:pPr>
              <w:overflowPunct w:val="0"/>
              <w:adjustRightInd w:val="0"/>
              <w:snapToGrid w:val="0"/>
              <w:jc w:val="center"/>
              <w:rPr>
                <w:rFonts w:ascii="方正书宋_GBK" w:eastAsia="方正书宋_GBK"/>
              </w:rPr>
            </w:pPr>
          </w:p>
        </w:tc>
        <w:tc>
          <w:tcPr>
            <w:tcW w:w="728" w:type="dxa"/>
            <w:vMerge w:val="continue"/>
            <w:noWrap w:val="0"/>
            <w:vAlign w:val="center"/>
          </w:tcPr>
          <w:p>
            <w:pPr>
              <w:overflowPunct w:val="0"/>
              <w:adjustRightInd w:val="0"/>
              <w:snapToGrid w:val="0"/>
              <w:jc w:val="center"/>
              <w:rPr>
                <w:rFonts w:ascii="方正书宋_GBK" w:eastAsia="方正书宋_GBK"/>
              </w:rPr>
            </w:pPr>
          </w:p>
        </w:tc>
        <w:tc>
          <w:tcPr>
            <w:tcW w:w="1148" w:type="dxa"/>
            <w:noWrap w:val="0"/>
            <w:vAlign w:val="center"/>
          </w:tcPr>
          <w:p>
            <w:pPr>
              <w:overflowPunct w:val="0"/>
              <w:adjustRightInd w:val="0"/>
              <w:snapToGrid w:val="0"/>
              <w:rPr>
                <w:rFonts w:ascii="方正书宋_GBK" w:eastAsia="方正书宋_GBK"/>
              </w:rPr>
            </w:pPr>
            <w:r>
              <w:rPr>
                <w:rFonts w:ascii="方正书宋_GBK" w:eastAsia="方正书宋_GBK"/>
              </w:rPr>
              <w:t>电代煤安全检查报告</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完成电代煤安全检查并形成检查报告的满分，否则不得分</w:t>
            </w:r>
          </w:p>
        </w:tc>
        <w:tc>
          <w:tcPr>
            <w:tcW w:w="1497" w:type="dxa"/>
            <w:noWrap w:val="0"/>
            <w:vAlign w:val="center"/>
          </w:tcPr>
          <w:p>
            <w:pPr>
              <w:overflowPunct w:val="0"/>
              <w:adjustRightInd w:val="0"/>
              <w:snapToGrid w:val="0"/>
              <w:rPr>
                <w:rFonts w:ascii="方正书宋_GBK" w:eastAsia="方正书宋_GBK"/>
              </w:rPr>
            </w:pPr>
            <w:r>
              <w:rPr>
                <w:rFonts w:ascii="方正书宋_GBK" w:eastAsia="方正书宋_GBK"/>
              </w:rPr>
              <w:t>该指标主要考核对电代煤工程安全检查的成果</w:t>
            </w:r>
          </w:p>
        </w:tc>
        <w:tc>
          <w:tcPr>
            <w:tcW w:w="560" w:type="dxa"/>
            <w:noWrap w:val="0"/>
            <w:vAlign w:val="center"/>
          </w:tcPr>
          <w:p>
            <w:pPr>
              <w:overflowPunct w:val="0"/>
              <w:adjustRightInd w:val="0"/>
              <w:snapToGrid w:val="0"/>
              <w:jc w:val="center"/>
              <w:rPr>
                <w:rFonts w:ascii="方正书宋_GBK" w:eastAsia="方正书宋_GBK"/>
              </w:rPr>
            </w:pPr>
            <w:r>
              <w:rPr>
                <w:rFonts w:ascii="方正书宋_GBK" w:eastAsia="方正书宋_GBK"/>
              </w:rPr>
              <w:t>≥</w:t>
            </w:r>
          </w:p>
        </w:tc>
        <w:tc>
          <w:tcPr>
            <w:tcW w:w="672" w:type="dxa"/>
            <w:noWrap w:val="0"/>
            <w:vAlign w:val="center"/>
          </w:tcPr>
          <w:p>
            <w:pPr>
              <w:overflowPunct w:val="0"/>
              <w:adjustRightInd w:val="0"/>
              <w:snapToGrid w:val="0"/>
              <w:jc w:val="center"/>
              <w:rPr>
                <w:rFonts w:ascii="方正书宋_GBK" w:eastAsia="方正书宋_GBK"/>
              </w:rPr>
            </w:pPr>
            <w:r>
              <w:rPr>
                <w:rFonts w:ascii="方正书宋_GBK" w:eastAsia="方正书宋_GBK"/>
              </w:rPr>
              <w:t>1</w:t>
            </w:r>
          </w:p>
        </w:tc>
        <w:tc>
          <w:tcPr>
            <w:tcW w:w="476" w:type="dxa"/>
            <w:noWrap w:val="0"/>
            <w:vAlign w:val="center"/>
          </w:tcPr>
          <w:p>
            <w:pPr>
              <w:overflowPunct w:val="0"/>
              <w:adjustRightInd w:val="0"/>
              <w:snapToGrid w:val="0"/>
              <w:jc w:val="center"/>
              <w:rPr>
                <w:rFonts w:ascii="方正书宋_GBK" w:eastAsia="方正书宋_GBK"/>
              </w:rPr>
            </w:pPr>
            <w:r>
              <w:rPr>
                <w:rFonts w:ascii="方正书宋_GBK" w:eastAsia="方正书宋_GBK"/>
              </w:rPr>
              <w:t>份</w:t>
            </w:r>
          </w:p>
        </w:tc>
        <w:tc>
          <w:tcPr>
            <w:tcW w:w="1428" w:type="dxa"/>
            <w:noWrap w:val="0"/>
            <w:vAlign w:val="center"/>
          </w:tcPr>
          <w:p>
            <w:pPr>
              <w:overflowPunct w:val="0"/>
              <w:adjustRightInd w:val="0"/>
              <w:snapToGrid w:val="0"/>
              <w:rPr>
                <w:rFonts w:ascii="方正书宋_GBK" w:eastAsia="方正书宋_GBK"/>
              </w:rPr>
            </w:pPr>
            <w:r>
              <w:rPr>
                <w:rFonts w:ascii="方正书宋_GBK" w:eastAsia="方正书宋_GBK"/>
              </w:rPr>
              <w:t>电代煤安全检查报告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1601" w:hRule="atLeast"/>
          <w:jc w:val="center"/>
        </w:trPr>
        <w:tc>
          <w:tcPr>
            <w:tcW w:w="625" w:type="dxa"/>
            <w:vMerge w:val="continue"/>
            <w:noWrap w:val="0"/>
            <w:vAlign w:val="center"/>
          </w:tcPr>
          <w:p>
            <w:pPr>
              <w:overflowPunct w:val="0"/>
              <w:adjustRightInd w:val="0"/>
              <w:snapToGrid w:val="0"/>
              <w:jc w:val="center"/>
              <w:rPr>
                <w:rFonts w:ascii="方正书宋_GBK" w:eastAsia="方正书宋_GBK"/>
              </w:rPr>
            </w:pPr>
          </w:p>
        </w:tc>
        <w:tc>
          <w:tcPr>
            <w:tcW w:w="728" w:type="dxa"/>
            <w:vMerge w:val="restart"/>
            <w:noWrap w:val="0"/>
            <w:vAlign w:val="center"/>
          </w:tcPr>
          <w:p>
            <w:pPr>
              <w:overflowPunct w:val="0"/>
              <w:jc w:val="center"/>
              <w:rPr>
                <w:rFonts w:ascii="方正书宋_GBK" w:eastAsia="方正书宋_GBK"/>
              </w:rPr>
            </w:pPr>
            <w:r>
              <w:rPr>
                <w:rFonts w:ascii="方正书宋_GBK" w:eastAsia="方正书宋_GBK"/>
              </w:rPr>
              <w:t>质量</w:t>
            </w:r>
          </w:p>
        </w:tc>
        <w:tc>
          <w:tcPr>
            <w:tcW w:w="1148" w:type="dxa"/>
            <w:noWrap w:val="0"/>
            <w:vAlign w:val="center"/>
          </w:tcPr>
          <w:p>
            <w:pPr>
              <w:overflowPunct w:val="0"/>
              <w:adjustRightInd w:val="0"/>
              <w:snapToGrid w:val="0"/>
              <w:rPr>
                <w:rFonts w:ascii="方正书宋_GBK" w:eastAsia="方正书宋_GBK"/>
              </w:rPr>
            </w:pPr>
            <w:r>
              <w:rPr>
                <w:rFonts w:ascii="方正书宋_GBK" w:eastAsia="方正书宋_GBK"/>
              </w:rPr>
              <w:t>救灾物资购置完成率</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每降低5%，扣权重分的10%</w:t>
            </w:r>
          </w:p>
        </w:tc>
        <w:tc>
          <w:tcPr>
            <w:tcW w:w="1497" w:type="dxa"/>
            <w:noWrap w:val="0"/>
            <w:vAlign w:val="center"/>
          </w:tcPr>
          <w:p>
            <w:pPr>
              <w:overflowPunct w:val="0"/>
              <w:adjustRightInd w:val="0"/>
              <w:snapToGrid w:val="0"/>
              <w:rPr>
                <w:rFonts w:ascii="方正书宋_GBK" w:eastAsia="方正书宋_GBK"/>
              </w:rPr>
            </w:pPr>
            <w:r>
              <w:rPr>
                <w:rFonts w:ascii="方正书宋_GBK" w:eastAsia="方正书宋_GBK"/>
              </w:rPr>
              <w:t>救灾物资购置完成率=年度内完成救灾物资购置数量/工作要求完成数量</w:t>
            </w:r>
          </w:p>
        </w:tc>
        <w:tc>
          <w:tcPr>
            <w:tcW w:w="560" w:type="dxa"/>
            <w:noWrap w:val="0"/>
            <w:vAlign w:val="center"/>
          </w:tcPr>
          <w:p>
            <w:pPr>
              <w:overflowPunct w:val="0"/>
              <w:adjustRightInd w:val="0"/>
              <w:snapToGrid w:val="0"/>
              <w:jc w:val="center"/>
              <w:rPr>
                <w:rFonts w:ascii="方正书宋_GBK" w:eastAsia="方正书宋_GBK"/>
              </w:rPr>
            </w:pPr>
          </w:p>
          <w:p>
            <w:pPr>
              <w:overflowPunct w:val="0"/>
              <w:adjustRightInd w:val="0"/>
              <w:snapToGrid w:val="0"/>
              <w:jc w:val="center"/>
              <w:rPr>
                <w:rFonts w:ascii="方正书宋_GBK" w:eastAsia="方正书宋_GBK"/>
              </w:rPr>
            </w:pPr>
          </w:p>
          <w:p>
            <w:pPr>
              <w:overflowPunct w:val="0"/>
              <w:adjustRightInd w:val="0"/>
              <w:snapToGrid w:val="0"/>
              <w:jc w:val="center"/>
              <w:rPr>
                <w:rFonts w:ascii="方正书宋_GBK" w:eastAsia="方正书宋_GBK"/>
              </w:rPr>
            </w:pPr>
            <w:r>
              <w:rPr>
                <w:rFonts w:ascii="方正书宋_GBK" w:eastAsia="方正书宋_GBK"/>
              </w:rPr>
              <w:t>≥</w:t>
            </w:r>
          </w:p>
        </w:tc>
        <w:tc>
          <w:tcPr>
            <w:tcW w:w="672" w:type="dxa"/>
            <w:noWrap w:val="0"/>
            <w:vAlign w:val="center"/>
          </w:tcPr>
          <w:p>
            <w:pPr>
              <w:overflowPunct w:val="0"/>
              <w:adjustRightInd w:val="0"/>
              <w:snapToGrid w:val="0"/>
              <w:jc w:val="center"/>
              <w:rPr>
                <w:rFonts w:ascii="方正书宋_GBK" w:eastAsia="方正书宋_GBK"/>
              </w:rPr>
            </w:pPr>
          </w:p>
          <w:p>
            <w:pPr>
              <w:overflowPunct w:val="0"/>
              <w:adjustRightInd w:val="0"/>
              <w:snapToGrid w:val="0"/>
              <w:jc w:val="center"/>
              <w:rPr>
                <w:rFonts w:ascii="方正书宋_GBK" w:eastAsia="方正书宋_GBK"/>
              </w:rPr>
            </w:pPr>
          </w:p>
          <w:p>
            <w:pPr>
              <w:overflowPunct w:val="0"/>
              <w:adjustRightInd w:val="0"/>
              <w:snapToGrid w:val="0"/>
              <w:jc w:val="center"/>
              <w:rPr>
                <w:rFonts w:ascii="方正书宋_GBK" w:eastAsia="方正书宋_GBK"/>
              </w:rPr>
            </w:pPr>
            <w:r>
              <w:rPr>
                <w:rFonts w:ascii="方正书宋_GBK" w:eastAsia="方正书宋_GBK"/>
              </w:rPr>
              <w:t>90</w:t>
            </w:r>
          </w:p>
        </w:tc>
        <w:tc>
          <w:tcPr>
            <w:tcW w:w="476" w:type="dxa"/>
            <w:noWrap w:val="0"/>
            <w:vAlign w:val="center"/>
          </w:tcPr>
          <w:p>
            <w:pPr>
              <w:overflowPunct w:val="0"/>
              <w:adjustRightInd w:val="0"/>
              <w:snapToGrid w:val="0"/>
              <w:jc w:val="center"/>
              <w:rPr>
                <w:rFonts w:ascii="方正书宋_GBK" w:eastAsia="方正书宋_GBK"/>
              </w:rPr>
            </w:pPr>
          </w:p>
          <w:p>
            <w:pPr>
              <w:overflowPunct w:val="0"/>
              <w:adjustRightInd w:val="0"/>
              <w:snapToGrid w:val="0"/>
              <w:jc w:val="center"/>
              <w:rPr>
                <w:rFonts w:ascii="方正书宋_GBK" w:eastAsia="方正书宋_GBK"/>
              </w:rPr>
            </w:pPr>
          </w:p>
          <w:p>
            <w:pPr>
              <w:overflowPunct w:val="0"/>
              <w:adjustRightInd w:val="0"/>
              <w:snapToGrid w:val="0"/>
              <w:jc w:val="center"/>
              <w:rPr>
                <w:rFonts w:ascii="方正书宋_GBK" w:eastAsia="方正书宋_GBK"/>
              </w:rPr>
            </w:pPr>
            <w:r>
              <w:rPr>
                <w:rFonts w:ascii="方正书宋_GBK" w:eastAsia="方正书宋_GBK"/>
              </w:rPr>
              <w:t>%</w:t>
            </w:r>
          </w:p>
        </w:tc>
        <w:tc>
          <w:tcPr>
            <w:tcW w:w="1428" w:type="dxa"/>
            <w:noWrap w:val="0"/>
            <w:vAlign w:val="center"/>
          </w:tcPr>
          <w:p>
            <w:pPr>
              <w:overflowPunct w:val="0"/>
              <w:adjustRightInd w:val="0"/>
              <w:snapToGrid w:val="0"/>
              <w:rPr>
                <w:rFonts w:ascii="方正书宋_GBK" w:eastAsia="方正书宋_GBK"/>
              </w:rPr>
            </w:pPr>
          </w:p>
          <w:p>
            <w:pPr>
              <w:overflowPunct w:val="0"/>
              <w:adjustRightInd w:val="0"/>
              <w:snapToGrid w:val="0"/>
              <w:rPr>
                <w:rFonts w:ascii="方正书宋_GBK" w:eastAsia="方正书宋_GBK"/>
              </w:rPr>
            </w:pPr>
            <w:r>
              <w:rPr>
                <w:rFonts w:ascii="方正书宋_GBK" w:eastAsia="方正书宋_GBK"/>
              </w:rPr>
              <w:t>救灾物资购置凭证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2948" w:hRule="atLeast"/>
          <w:jc w:val="center"/>
        </w:trPr>
        <w:tc>
          <w:tcPr>
            <w:tcW w:w="625" w:type="dxa"/>
            <w:vMerge w:val="continue"/>
            <w:noWrap w:val="0"/>
            <w:vAlign w:val="center"/>
          </w:tcPr>
          <w:p>
            <w:pPr>
              <w:overflowPunct w:val="0"/>
              <w:adjustRightInd w:val="0"/>
              <w:snapToGrid w:val="0"/>
              <w:jc w:val="center"/>
              <w:rPr>
                <w:rFonts w:ascii="方正书宋_GBK" w:eastAsia="方正书宋_GBK"/>
              </w:rPr>
            </w:pPr>
          </w:p>
        </w:tc>
        <w:tc>
          <w:tcPr>
            <w:tcW w:w="728" w:type="dxa"/>
            <w:vMerge w:val="continue"/>
            <w:noWrap w:val="0"/>
            <w:vAlign w:val="center"/>
          </w:tcPr>
          <w:p>
            <w:pPr>
              <w:overflowPunct w:val="0"/>
              <w:ind w:firstLine="105" w:firstLineChars="50"/>
              <w:rPr>
                <w:rFonts w:ascii="方正书宋_GBK" w:eastAsia="方正书宋_GBK"/>
              </w:rPr>
            </w:pPr>
          </w:p>
        </w:tc>
        <w:tc>
          <w:tcPr>
            <w:tcW w:w="1148" w:type="dxa"/>
            <w:noWrap w:val="0"/>
            <w:vAlign w:val="center"/>
          </w:tcPr>
          <w:p>
            <w:pPr>
              <w:overflowPunct w:val="0"/>
              <w:adjustRightInd w:val="0"/>
              <w:snapToGrid w:val="0"/>
              <w:rPr>
                <w:rFonts w:ascii="方正书宋_GBK" w:eastAsia="方正书宋_GBK"/>
              </w:rPr>
            </w:pPr>
            <w:r>
              <w:rPr>
                <w:rFonts w:ascii="方正书宋_GBK" w:eastAsia="方正书宋_GBK"/>
              </w:rPr>
              <w:t>质量检测中心建设完成率</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完成率大于或等于95%的，得满分；</w:t>
            </w:r>
          </w:p>
          <w:p>
            <w:pPr>
              <w:overflowPunct w:val="0"/>
              <w:adjustRightInd w:val="0"/>
              <w:snapToGrid w:val="0"/>
              <w:rPr>
                <w:rFonts w:ascii="方正书宋_GBK" w:eastAsia="方正书宋_GBK"/>
              </w:rPr>
            </w:pPr>
            <w:r>
              <w:rPr>
                <w:rFonts w:ascii="方正书宋_GBK" w:eastAsia="方正书宋_GBK"/>
              </w:rPr>
              <w:t>完成率小于或等于85%的，得0分；</w:t>
            </w:r>
          </w:p>
          <w:p>
            <w:pPr>
              <w:overflowPunct w:val="0"/>
              <w:adjustRightInd w:val="0"/>
              <w:snapToGrid w:val="0"/>
              <w:rPr>
                <w:rFonts w:ascii="方正书宋_GBK" w:eastAsia="方正书宋_GBK"/>
              </w:rPr>
            </w:pPr>
            <w:r>
              <w:rPr>
                <w:rFonts w:ascii="方正书宋_GBK" w:eastAsia="方正书宋_GBK"/>
              </w:rPr>
              <w:t>完成率在85%—95%之间的，在0分和满分之间计算确定：</w:t>
            </w:r>
          </w:p>
          <w:p>
            <w:pPr>
              <w:overflowPunct w:val="0"/>
              <w:adjustRightInd w:val="0"/>
              <w:snapToGrid w:val="0"/>
              <w:rPr>
                <w:rFonts w:ascii="方正书宋_GBK" w:eastAsia="方正书宋_GBK"/>
              </w:rPr>
            </w:pPr>
            <w:r>
              <w:rPr>
                <w:rFonts w:ascii="方正书宋_GBK" w:eastAsia="方正书宋_GBK"/>
              </w:rPr>
              <w:t>得分=（实际值-85%）/10%*权重</w:t>
            </w:r>
          </w:p>
        </w:tc>
        <w:tc>
          <w:tcPr>
            <w:tcW w:w="1497" w:type="dxa"/>
            <w:noWrap w:val="0"/>
            <w:vAlign w:val="center"/>
          </w:tcPr>
          <w:p>
            <w:pPr>
              <w:overflowPunct w:val="0"/>
              <w:adjustRightInd w:val="0"/>
              <w:snapToGrid w:val="0"/>
              <w:rPr>
                <w:rFonts w:ascii="方正书宋_GBK" w:eastAsia="方正书宋_GBK"/>
              </w:rPr>
            </w:pPr>
            <w:r>
              <w:rPr>
                <w:rFonts w:ascii="方正书宋_GBK" w:eastAsia="方正书宋_GBK"/>
              </w:rPr>
              <w:t>该指标主要考核质量检测中心建设完成情况</w:t>
            </w:r>
          </w:p>
        </w:tc>
        <w:tc>
          <w:tcPr>
            <w:tcW w:w="560" w:type="dxa"/>
            <w:noWrap w:val="0"/>
            <w:vAlign w:val="center"/>
          </w:tcPr>
          <w:p>
            <w:pPr>
              <w:overflowPunct w:val="0"/>
              <w:adjustRightInd w:val="0"/>
              <w:snapToGrid w:val="0"/>
              <w:jc w:val="center"/>
              <w:rPr>
                <w:rFonts w:ascii="方正书宋_GBK" w:eastAsia="方正书宋_GBK"/>
              </w:rPr>
            </w:pPr>
            <w:r>
              <w:rPr>
                <w:rFonts w:ascii="方正书宋_GBK" w:eastAsia="方正书宋_GBK"/>
              </w:rPr>
              <w:t>=</w:t>
            </w:r>
          </w:p>
        </w:tc>
        <w:tc>
          <w:tcPr>
            <w:tcW w:w="672" w:type="dxa"/>
            <w:noWrap w:val="0"/>
            <w:vAlign w:val="center"/>
          </w:tcPr>
          <w:p>
            <w:pPr>
              <w:overflowPunct w:val="0"/>
              <w:adjustRightInd w:val="0"/>
              <w:snapToGrid w:val="0"/>
              <w:jc w:val="center"/>
              <w:rPr>
                <w:rFonts w:ascii="方正书宋_GBK" w:eastAsia="方正书宋_GBK"/>
              </w:rPr>
            </w:pPr>
            <w:r>
              <w:rPr>
                <w:rFonts w:ascii="方正书宋_GBK" w:eastAsia="方正书宋_GBK"/>
              </w:rPr>
              <w:t>100</w:t>
            </w:r>
          </w:p>
        </w:tc>
        <w:tc>
          <w:tcPr>
            <w:tcW w:w="476" w:type="dxa"/>
            <w:noWrap w:val="0"/>
            <w:vAlign w:val="center"/>
          </w:tcPr>
          <w:p>
            <w:pPr>
              <w:overflowPunct w:val="0"/>
              <w:adjustRightInd w:val="0"/>
              <w:snapToGrid w:val="0"/>
              <w:jc w:val="center"/>
              <w:rPr>
                <w:rFonts w:ascii="方正书宋_GBK" w:eastAsia="方正书宋_GBK"/>
              </w:rPr>
            </w:pPr>
            <w:r>
              <w:rPr>
                <w:rFonts w:ascii="方正书宋_GBK" w:eastAsia="方正书宋_GBK"/>
              </w:rPr>
              <w:t>%</w:t>
            </w:r>
          </w:p>
        </w:tc>
        <w:tc>
          <w:tcPr>
            <w:tcW w:w="1428" w:type="dxa"/>
            <w:noWrap w:val="0"/>
            <w:vAlign w:val="center"/>
          </w:tcPr>
          <w:p>
            <w:pPr>
              <w:overflowPunct w:val="0"/>
              <w:adjustRightInd w:val="0"/>
              <w:snapToGrid w:val="0"/>
              <w:rPr>
                <w:rFonts w:ascii="方正书宋_GBK" w:eastAsia="方正书宋_GBK"/>
              </w:rPr>
            </w:pPr>
            <w:r>
              <w:rPr>
                <w:rFonts w:ascii="方正书宋_GBK" w:eastAsia="方正书宋_GBK"/>
              </w:rPr>
              <w:t>验收报告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567" w:hRule="atLeast"/>
          <w:jc w:val="center"/>
        </w:trPr>
        <w:tc>
          <w:tcPr>
            <w:tcW w:w="625" w:type="dxa"/>
            <w:vMerge w:val="restart"/>
            <w:noWrap w:val="0"/>
            <w:vAlign w:val="center"/>
          </w:tcPr>
          <w:p>
            <w:pPr>
              <w:overflowPunct w:val="0"/>
              <w:adjustRightInd w:val="0"/>
              <w:snapToGrid w:val="0"/>
              <w:jc w:val="center"/>
              <w:rPr>
                <w:rFonts w:ascii="方正书宋_GBK" w:eastAsia="方正书宋_GBK"/>
              </w:rPr>
            </w:pPr>
            <w:r>
              <w:rPr>
                <w:rFonts w:ascii="方正书宋_GBK" w:eastAsia="方正书宋_GBK"/>
              </w:rPr>
              <w:t>部门产出</w:t>
            </w:r>
          </w:p>
        </w:tc>
        <w:tc>
          <w:tcPr>
            <w:tcW w:w="728" w:type="dxa"/>
            <w:vMerge w:val="restart"/>
            <w:noWrap w:val="0"/>
            <w:vAlign w:val="center"/>
          </w:tcPr>
          <w:p>
            <w:pPr>
              <w:overflowPunct w:val="0"/>
              <w:jc w:val="center"/>
              <w:rPr>
                <w:rFonts w:ascii="方正书宋_GBK" w:eastAsia="方正书宋_GBK"/>
              </w:rPr>
            </w:pPr>
            <w:r>
              <w:rPr>
                <w:rFonts w:ascii="方正书宋_GBK" w:eastAsia="方正书宋_GBK"/>
              </w:rPr>
              <w:t>质量</w:t>
            </w:r>
          </w:p>
        </w:tc>
        <w:tc>
          <w:tcPr>
            <w:tcW w:w="1148" w:type="dxa"/>
            <w:noWrap w:val="0"/>
            <w:vAlign w:val="center"/>
          </w:tcPr>
          <w:p>
            <w:pPr>
              <w:overflowPunct w:val="0"/>
              <w:adjustRightInd w:val="0"/>
              <w:snapToGrid w:val="0"/>
              <w:rPr>
                <w:rFonts w:ascii="方正书宋_GBK" w:eastAsia="方正书宋_GBK"/>
              </w:rPr>
            </w:pPr>
            <w:r>
              <w:rPr>
                <w:rFonts w:ascii="方正书宋_GBK" w:eastAsia="方正书宋_GBK"/>
              </w:rPr>
              <w:t>奖补、下拨资金发放准确率</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每降低5%，扣权重分的10%</w:t>
            </w:r>
          </w:p>
        </w:tc>
        <w:tc>
          <w:tcPr>
            <w:tcW w:w="1497" w:type="dxa"/>
            <w:noWrap w:val="0"/>
            <w:vAlign w:val="center"/>
          </w:tcPr>
          <w:p>
            <w:pPr>
              <w:overflowPunct w:val="0"/>
              <w:adjustRightInd w:val="0"/>
              <w:snapToGrid w:val="0"/>
              <w:rPr>
                <w:rFonts w:ascii="方正书宋_GBK" w:eastAsia="方正书宋_GBK"/>
              </w:rPr>
            </w:pPr>
            <w:r>
              <w:rPr>
                <w:rFonts w:ascii="方正书宋_GBK" w:eastAsia="方正书宋_GBK"/>
              </w:rPr>
              <w:t>该指标主要考核符合拨付相关县区项目企业</w:t>
            </w:r>
          </w:p>
        </w:tc>
        <w:tc>
          <w:tcPr>
            <w:tcW w:w="560" w:type="dxa"/>
            <w:noWrap w:val="0"/>
            <w:vAlign w:val="center"/>
          </w:tcPr>
          <w:p>
            <w:pPr>
              <w:overflowPunct w:val="0"/>
              <w:adjustRightInd w:val="0"/>
              <w:snapToGrid w:val="0"/>
              <w:jc w:val="center"/>
              <w:rPr>
                <w:rFonts w:ascii="方正书宋_GBK" w:eastAsia="方正书宋_GBK"/>
              </w:rPr>
            </w:pPr>
            <w:r>
              <w:rPr>
                <w:rFonts w:ascii="方正书宋_GBK" w:eastAsia="方正书宋_GBK"/>
              </w:rPr>
              <w:t>=</w:t>
            </w:r>
          </w:p>
        </w:tc>
        <w:tc>
          <w:tcPr>
            <w:tcW w:w="672" w:type="dxa"/>
            <w:noWrap w:val="0"/>
            <w:vAlign w:val="center"/>
          </w:tcPr>
          <w:p>
            <w:pPr>
              <w:overflowPunct w:val="0"/>
              <w:adjustRightInd w:val="0"/>
              <w:snapToGrid w:val="0"/>
              <w:jc w:val="center"/>
              <w:rPr>
                <w:rFonts w:ascii="方正书宋_GBK" w:eastAsia="方正书宋_GBK"/>
              </w:rPr>
            </w:pPr>
            <w:r>
              <w:rPr>
                <w:rFonts w:ascii="方正书宋_GBK" w:eastAsia="方正书宋_GBK"/>
              </w:rPr>
              <w:t>100</w:t>
            </w:r>
          </w:p>
        </w:tc>
        <w:tc>
          <w:tcPr>
            <w:tcW w:w="476" w:type="dxa"/>
            <w:noWrap w:val="0"/>
            <w:vAlign w:val="center"/>
          </w:tcPr>
          <w:p>
            <w:pPr>
              <w:overflowPunct w:val="0"/>
              <w:adjustRightInd w:val="0"/>
              <w:snapToGrid w:val="0"/>
              <w:jc w:val="center"/>
              <w:rPr>
                <w:rFonts w:ascii="方正书宋_GBK" w:eastAsia="方正书宋_GBK"/>
              </w:rPr>
            </w:pPr>
            <w:r>
              <w:rPr>
                <w:rFonts w:ascii="方正书宋_GBK" w:eastAsia="方正书宋_GBK"/>
              </w:rPr>
              <w:t>%</w:t>
            </w:r>
          </w:p>
        </w:tc>
        <w:tc>
          <w:tcPr>
            <w:tcW w:w="1428" w:type="dxa"/>
            <w:noWrap w:val="0"/>
            <w:vAlign w:val="center"/>
          </w:tcPr>
          <w:p>
            <w:pPr>
              <w:overflowPunct w:val="0"/>
              <w:adjustRightInd w:val="0"/>
              <w:snapToGrid w:val="0"/>
              <w:rPr>
                <w:rFonts w:ascii="方正书宋_GBK" w:eastAsia="方正书宋_GBK"/>
              </w:rPr>
            </w:pPr>
            <w:r>
              <w:rPr>
                <w:rFonts w:ascii="方正书宋_GBK" w:eastAsia="方正书宋_GBK"/>
              </w:rPr>
              <w:t>《廊坊市节能项目专项资金管理办法》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1009" w:hRule="atLeast"/>
          <w:jc w:val="center"/>
        </w:trPr>
        <w:tc>
          <w:tcPr>
            <w:tcW w:w="625" w:type="dxa"/>
            <w:vMerge w:val="continue"/>
            <w:noWrap w:val="0"/>
            <w:vAlign w:val="center"/>
          </w:tcPr>
          <w:p>
            <w:pPr>
              <w:overflowPunct w:val="0"/>
              <w:adjustRightInd w:val="0"/>
              <w:snapToGrid w:val="0"/>
              <w:jc w:val="center"/>
              <w:rPr>
                <w:rFonts w:ascii="方正书宋_GBK" w:eastAsia="方正书宋_GBK"/>
              </w:rPr>
            </w:pPr>
          </w:p>
        </w:tc>
        <w:tc>
          <w:tcPr>
            <w:tcW w:w="728" w:type="dxa"/>
            <w:vMerge w:val="continue"/>
            <w:noWrap w:val="0"/>
            <w:vAlign w:val="center"/>
          </w:tcPr>
          <w:p>
            <w:pPr>
              <w:overflowPunct w:val="0"/>
              <w:adjustRightInd w:val="0"/>
              <w:snapToGrid w:val="0"/>
              <w:jc w:val="center"/>
              <w:rPr>
                <w:rFonts w:ascii="方正书宋_GBK" w:eastAsia="方正书宋_GBK"/>
              </w:rPr>
            </w:pPr>
          </w:p>
        </w:tc>
        <w:tc>
          <w:tcPr>
            <w:tcW w:w="1148" w:type="dxa"/>
            <w:noWrap w:val="0"/>
            <w:vAlign w:val="center"/>
          </w:tcPr>
          <w:p>
            <w:pPr>
              <w:overflowPunct w:val="0"/>
              <w:textAlignment w:val="center"/>
              <w:rPr>
                <w:rFonts w:ascii="方正书宋_GBK" w:eastAsia="方正书宋_GBK"/>
              </w:rPr>
            </w:pPr>
            <w:r>
              <w:rPr>
                <w:rFonts w:ascii="方正书宋_GBK" w:eastAsia="方正书宋_GBK"/>
              </w:rPr>
              <w:t>年度网络断网和系统平台宕机时间</w:t>
            </w:r>
          </w:p>
        </w:tc>
        <w:tc>
          <w:tcPr>
            <w:tcW w:w="1932" w:type="dxa"/>
            <w:noWrap w:val="0"/>
            <w:vAlign w:val="center"/>
          </w:tcPr>
          <w:p>
            <w:pPr>
              <w:overflowPunct w:val="0"/>
              <w:textAlignment w:val="center"/>
              <w:rPr>
                <w:rFonts w:ascii="方正书宋_GBK" w:eastAsia="方正书宋_GBK"/>
              </w:rPr>
            </w:pPr>
            <w:r>
              <w:rPr>
                <w:rFonts w:ascii="方正书宋_GBK" w:eastAsia="方正书宋_GBK"/>
              </w:rPr>
              <w:t>每增加1小时，扣权重分的10%</w:t>
            </w:r>
          </w:p>
        </w:tc>
        <w:tc>
          <w:tcPr>
            <w:tcW w:w="1497" w:type="dxa"/>
            <w:noWrap w:val="0"/>
            <w:vAlign w:val="center"/>
          </w:tcPr>
          <w:p>
            <w:pPr>
              <w:overflowPunct w:val="0"/>
              <w:textAlignment w:val="center"/>
              <w:rPr>
                <w:rFonts w:ascii="方正书宋_GBK" w:eastAsia="方正书宋_GBK"/>
              </w:rPr>
            </w:pPr>
            <w:r>
              <w:rPr>
                <w:rFonts w:ascii="方正书宋_GBK" w:eastAsia="方正书宋_GBK"/>
              </w:rPr>
              <w:t>该指标主要考核政府网站安全、稳定、有效运行情况</w:t>
            </w:r>
          </w:p>
        </w:tc>
        <w:tc>
          <w:tcPr>
            <w:tcW w:w="560" w:type="dxa"/>
            <w:noWrap w:val="0"/>
            <w:vAlign w:val="center"/>
          </w:tcPr>
          <w:p>
            <w:pPr>
              <w:overflowPunct w:val="0"/>
              <w:jc w:val="center"/>
              <w:textAlignment w:val="center"/>
              <w:rPr>
                <w:rFonts w:ascii="方正书宋_GBK" w:eastAsia="方正书宋_GBK"/>
              </w:rPr>
            </w:pPr>
            <w:r>
              <w:rPr>
                <w:rFonts w:ascii="方正书宋_GBK" w:eastAsia="方正书宋_GBK"/>
              </w:rPr>
              <w:t>≤</w:t>
            </w:r>
          </w:p>
        </w:tc>
        <w:tc>
          <w:tcPr>
            <w:tcW w:w="672" w:type="dxa"/>
            <w:noWrap w:val="0"/>
            <w:vAlign w:val="center"/>
          </w:tcPr>
          <w:p>
            <w:pPr>
              <w:overflowPunct w:val="0"/>
              <w:jc w:val="center"/>
              <w:textAlignment w:val="center"/>
              <w:rPr>
                <w:rFonts w:ascii="方正书宋_GBK" w:eastAsia="方正书宋_GBK"/>
              </w:rPr>
            </w:pPr>
            <w:r>
              <w:rPr>
                <w:rFonts w:ascii="方正书宋_GBK" w:eastAsia="方正书宋_GBK"/>
              </w:rPr>
              <w:t>12</w:t>
            </w:r>
          </w:p>
        </w:tc>
        <w:tc>
          <w:tcPr>
            <w:tcW w:w="476" w:type="dxa"/>
            <w:noWrap w:val="0"/>
            <w:vAlign w:val="center"/>
          </w:tcPr>
          <w:p>
            <w:pPr>
              <w:overflowPunct w:val="0"/>
              <w:jc w:val="center"/>
              <w:textAlignment w:val="center"/>
              <w:rPr>
                <w:rFonts w:ascii="方正书宋_GBK" w:eastAsia="方正书宋_GBK"/>
              </w:rPr>
            </w:pPr>
            <w:r>
              <w:rPr>
                <w:rFonts w:ascii="方正书宋_GBK" w:eastAsia="方正书宋_GBK"/>
              </w:rPr>
              <w:t>小时</w:t>
            </w:r>
          </w:p>
        </w:tc>
        <w:tc>
          <w:tcPr>
            <w:tcW w:w="1428" w:type="dxa"/>
            <w:noWrap w:val="0"/>
            <w:vAlign w:val="center"/>
          </w:tcPr>
          <w:p>
            <w:pPr>
              <w:overflowPunct w:val="0"/>
              <w:textAlignment w:val="center"/>
              <w:rPr>
                <w:rFonts w:ascii="方正书宋_GBK" w:eastAsia="方正书宋_GBK"/>
              </w:rPr>
            </w:pPr>
            <w:r>
              <w:rPr>
                <w:rFonts w:ascii="方正书宋_GBK" w:eastAsia="方正书宋_GBK"/>
              </w:rPr>
              <w:t>项目管理办法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567" w:hRule="atLeast"/>
          <w:jc w:val="center"/>
        </w:trPr>
        <w:tc>
          <w:tcPr>
            <w:tcW w:w="625" w:type="dxa"/>
            <w:vMerge w:val="continue"/>
            <w:noWrap w:val="0"/>
            <w:vAlign w:val="center"/>
          </w:tcPr>
          <w:p>
            <w:pPr>
              <w:overflowPunct w:val="0"/>
              <w:adjustRightInd w:val="0"/>
              <w:snapToGrid w:val="0"/>
              <w:jc w:val="center"/>
              <w:rPr>
                <w:rFonts w:ascii="方正书宋_GBK" w:eastAsia="方正书宋_GBK"/>
              </w:rPr>
            </w:pPr>
          </w:p>
        </w:tc>
        <w:tc>
          <w:tcPr>
            <w:tcW w:w="728" w:type="dxa"/>
            <w:vMerge w:val="continue"/>
            <w:noWrap w:val="0"/>
            <w:vAlign w:val="center"/>
          </w:tcPr>
          <w:p>
            <w:pPr>
              <w:overflowPunct w:val="0"/>
              <w:adjustRightInd w:val="0"/>
              <w:snapToGrid w:val="0"/>
              <w:jc w:val="center"/>
              <w:rPr>
                <w:rFonts w:ascii="方正书宋_GBK" w:eastAsia="方正书宋_GBK"/>
              </w:rPr>
            </w:pPr>
          </w:p>
        </w:tc>
        <w:tc>
          <w:tcPr>
            <w:tcW w:w="1148" w:type="dxa"/>
            <w:noWrap w:val="0"/>
            <w:vAlign w:val="center"/>
          </w:tcPr>
          <w:p>
            <w:pPr>
              <w:overflowPunct w:val="0"/>
              <w:adjustRightInd w:val="0"/>
              <w:snapToGrid w:val="0"/>
              <w:rPr>
                <w:rFonts w:ascii="方正书宋_GBK" w:eastAsia="方正书宋_GBK"/>
              </w:rPr>
            </w:pPr>
            <w:r>
              <w:rPr>
                <w:rFonts w:ascii="方正书宋_GBK" w:eastAsia="方正书宋_GBK"/>
              </w:rPr>
              <w:t>物资储备质量完好率</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每降低2%，扣权重分的10%</w:t>
            </w:r>
          </w:p>
        </w:tc>
        <w:tc>
          <w:tcPr>
            <w:tcW w:w="1497" w:type="dxa"/>
            <w:noWrap w:val="0"/>
            <w:vAlign w:val="center"/>
          </w:tcPr>
          <w:p>
            <w:pPr>
              <w:overflowPunct w:val="0"/>
              <w:adjustRightInd w:val="0"/>
              <w:snapToGrid w:val="0"/>
              <w:rPr>
                <w:rFonts w:ascii="方正书宋_GBK" w:eastAsia="方正书宋_GBK"/>
              </w:rPr>
            </w:pPr>
            <w:r>
              <w:rPr>
                <w:rFonts w:ascii="方正书宋_GBK" w:eastAsia="方正书宋_GBK"/>
              </w:rPr>
              <w:t>物资储备质量完好率=无质量问题储备物资数量/全部储存数量</w:t>
            </w:r>
          </w:p>
        </w:tc>
        <w:tc>
          <w:tcPr>
            <w:tcW w:w="560" w:type="dxa"/>
            <w:noWrap w:val="0"/>
            <w:vAlign w:val="center"/>
          </w:tcPr>
          <w:p>
            <w:pPr>
              <w:overflowPunct w:val="0"/>
              <w:adjustRightInd w:val="0"/>
              <w:snapToGrid w:val="0"/>
              <w:jc w:val="center"/>
              <w:rPr>
                <w:rFonts w:ascii="方正书宋_GBK" w:eastAsia="方正书宋_GBK"/>
              </w:rPr>
            </w:pPr>
            <w:r>
              <w:rPr>
                <w:rFonts w:ascii="方正书宋_GBK" w:eastAsia="方正书宋_GBK"/>
              </w:rPr>
              <w:t>=</w:t>
            </w:r>
          </w:p>
        </w:tc>
        <w:tc>
          <w:tcPr>
            <w:tcW w:w="672" w:type="dxa"/>
            <w:noWrap w:val="0"/>
            <w:vAlign w:val="center"/>
          </w:tcPr>
          <w:p>
            <w:pPr>
              <w:overflowPunct w:val="0"/>
              <w:adjustRightInd w:val="0"/>
              <w:snapToGrid w:val="0"/>
              <w:jc w:val="center"/>
              <w:rPr>
                <w:rFonts w:ascii="方正书宋_GBK" w:eastAsia="方正书宋_GBK"/>
              </w:rPr>
            </w:pPr>
            <w:r>
              <w:rPr>
                <w:rFonts w:ascii="方正书宋_GBK" w:eastAsia="方正书宋_GBK"/>
              </w:rPr>
              <w:t>100</w:t>
            </w:r>
          </w:p>
        </w:tc>
        <w:tc>
          <w:tcPr>
            <w:tcW w:w="476" w:type="dxa"/>
            <w:noWrap w:val="0"/>
            <w:vAlign w:val="center"/>
          </w:tcPr>
          <w:p>
            <w:pPr>
              <w:overflowPunct w:val="0"/>
              <w:adjustRightInd w:val="0"/>
              <w:snapToGrid w:val="0"/>
              <w:jc w:val="center"/>
              <w:rPr>
                <w:rFonts w:ascii="方正书宋_GBK" w:eastAsia="方正书宋_GBK"/>
              </w:rPr>
            </w:pPr>
            <w:r>
              <w:rPr>
                <w:rFonts w:ascii="方正书宋_GBK" w:eastAsia="方正书宋_GBK"/>
              </w:rPr>
              <w:t>%</w:t>
            </w:r>
          </w:p>
        </w:tc>
        <w:tc>
          <w:tcPr>
            <w:tcW w:w="1428" w:type="dxa"/>
            <w:noWrap w:val="0"/>
            <w:vAlign w:val="center"/>
          </w:tcPr>
          <w:p>
            <w:pPr>
              <w:overflowPunct w:val="0"/>
              <w:adjustRightInd w:val="0"/>
              <w:snapToGrid w:val="0"/>
              <w:rPr>
                <w:rFonts w:ascii="方正书宋_GBK" w:eastAsia="方正书宋_GBK"/>
              </w:rPr>
            </w:pPr>
            <w:r>
              <w:rPr>
                <w:rFonts w:ascii="方正书宋_GBK" w:eastAsia="方正书宋_GBK"/>
              </w:rPr>
              <w:t>《救灾物资储备管理办法》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799" w:hRule="atLeast"/>
          <w:jc w:val="center"/>
        </w:trPr>
        <w:tc>
          <w:tcPr>
            <w:tcW w:w="625" w:type="dxa"/>
            <w:vMerge w:val="continue"/>
            <w:noWrap w:val="0"/>
            <w:vAlign w:val="center"/>
          </w:tcPr>
          <w:p>
            <w:pPr>
              <w:overflowPunct w:val="0"/>
              <w:adjustRightInd w:val="0"/>
              <w:snapToGrid w:val="0"/>
              <w:jc w:val="center"/>
              <w:rPr>
                <w:rFonts w:ascii="方正书宋_GBK" w:eastAsia="方正书宋_GBK"/>
              </w:rPr>
            </w:pPr>
          </w:p>
        </w:tc>
        <w:tc>
          <w:tcPr>
            <w:tcW w:w="728" w:type="dxa"/>
            <w:vMerge w:val="continue"/>
            <w:noWrap w:val="0"/>
            <w:vAlign w:val="center"/>
          </w:tcPr>
          <w:p>
            <w:pPr>
              <w:overflowPunct w:val="0"/>
              <w:adjustRightInd w:val="0"/>
              <w:snapToGrid w:val="0"/>
              <w:jc w:val="center"/>
              <w:rPr>
                <w:rFonts w:ascii="方正书宋_GBK" w:eastAsia="方正书宋_GBK"/>
              </w:rPr>
            </w:pPr>
          </w:p>
        </w:tc>
        <w:tc>
          <w:tcPr>
            <w:tcW w:w="1148" w:type="dxa"/>
            <w:noWrap w:val="0"/>
            <w:vAlign w:val="center"/>
          </w:tcPr>
          <w:p>
            <w:pPr>
              <w:overflowPunct w:val="0"/>
              <w:adjustRightInd w:val="0"/>
              <w:snapToGrid w:val="0"/>
              <w:rPr>
                <w:rFonts w:ascii="方正书宋_GBK" w:eastAsia="方正书宋_GBK"/>
              </w:rPr>
            </w:pPr>
            <w:r>
              <w:rPr>
                <w:rFonts w:ascii="方正书宋_GBK" w:eastAsia="方正书宋_GBK"/>
              </w:rPr>
              <w:t>质量检测中心建设质量合格率</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每降低1%，扣权重分的10%</w:t>
            </w:r>
          </w:p>
        </w:tc>
        <w:tc>
          <w:tcPr>
            <w:tcW w:w="1497" w:type="dxa"/>
            <w:noWrap w:val="0"/>
            <w:vAlign w:val="center"/>
          </w:tcPr>
          <w:p>
            <w:pPr>
              <w:overflowPunct w:val="0"/>
              <w:adjustRightInd w:val="0"/>
              <w:snapToGrid w:val="0"/>
              <w:rPr>
                <w:rFonts w:ascii="方正书宋_GBK" w:eastAsia="方正书宋_GBK"/>
              </w:rPr>
            </w:pPr>
            <w:r>
              <w:rPr>
                <w:rFonts w:ascii="方正书宋_GBK" w:eastAsia="方正书宋_GBK"/>
              </w:rPr>
              <w:t>该指标主要考核质量检测中心建设质量达标情况</w:t>
            </w:r>
          </w:p>
        </w:tc>
        <w:tc>
          <w:tcPr>
            <w:tcW w:w="560" w:type="dxa"/>
            <w:noWrap w:val="0"/>
            <w:vAlign w:val="center"/>
          </w:tcPr>
          <w:p>
            <w:pPr>
              <w:overflowPunct w:val="0"/>
              <w:adjustRightInd w:val="0"/>
              <w:snapToGrid w:val="0"/>
              <w:jc w:val="center"/>
              <w:rPr>
                <w:rFonts w:ascii="方正书宋_GBK" w:eastAsia="方正书宋_GBK"/>
              </w:rPr>
            </w:pPr>
            <w:r>
              <w:rPr>
                <w:rFonts w:ascii="方正书宋_GBK" w:eastAsia="方正书宋_GBK"/>
              </w:rPr>
              <w:t>=</w:t>
            </w:r>
          </w:p>
        </w:tc>
        <w:tc>
          <w:tcPr>
            <w:tcW w:w="672" w:type="dxa"/>
            <w:noWrap w:val="0"/>
            <w:vAlign w:val="center"/>
          </w:tcPr>
          <w:p>
            <w:pPr>
              <w:overflowPunct w:val="0"/>
              <w:adjustRightInd w:val="0"/>
              <w:snapToGrid w:val="0"/>
              <w:jc w:val="center"/>
              <w:rPr>
                <w:rFonts w:ascii="方正书宋_GBK" w:eastAsia="方正书宋_GBK"/>
              </w:rPr>
            </w:pPr>
            <w:r>
              <w:rPr>
                <w:rFonts w:ascii="方正书宋_GBK" w:eastAsia="方正书宋_GBK"/>
              </w:rPr>
              <w:t>100</w:t>
            </w:r>
          </w:p>
        </w:tc>
        <w:tc>
          <w:tcPr>
            <w:tcW w:w="476" w:type="dxa"/>
            <w:noWrap w:val="0"/>
            <w:vAlign w:val="center"/>
          </w:tcPr>
          <w:p>
            <w:pPr>
              <w:overflowPunct w:val="0"/>
              <w:adjustRightInd w:val="0"/>
              <w:snapToGrid w:val="0"/>
              <w:jc w:val="center"/>
              <w:rPr>
                <w:rFonts w:ascii="方正书宋_GBK" w:eastAsia="方正书宋_GBK"/>
              </w:rPr>
            </w:pPr>
            <w:r>
              <w:rPr>
                <w:rFonts w:ascii="方正书宋_GBK" w:eastAsia="方正书宋_GBK"/>
              </w:rPr>
              <w:t>%</w:t>
            </w:r>
          </w:p>
        </w:tc>
        <w:tc>
          <w:tcPr>
            <w:tcW w:w="1428" w:type="dxa"/>
            <w:noWrap w:val="0"/>
            <w:vAlign w:val="center"/>
          </w:tcPr>
          <w:p>
            <w:pPr>
              <w:overflowPunct w:val="0"/>
              <w:adjustRightInd w:val="0"/>
              <w:snapToGrid w:val="0"/>
              <w:rPr>
                <w:rFonts w:ascii="方正书宋_GBK" w:eastAsia="方正书宋_GBK"/>
              </w:rPr>
            </w:pPr>
            <w:r>
              <w:rPr>
                <w:rFonts w:ascii="方正书宋_GBK" w:eastAsia="方正书宋_GBK"/>
              </w:rPr>
              <w:t>验收报告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567" w:hRule="atLeast"/>
          <w:jc w:val="center"/>
        </w:trPr>
        <w:tc>
          <w:tcPr>
            <w:tcW w:w="625" w:type="dxa"/>
            <w:vMerge w:val="continue"/>
            <w:noWrap w:val="0"/>
            <w:vAlign w:val="center"/>
          </w:tcPr>
          <w:p>
            <w:pPr>
              <w:overflowPunct w:val="0"/>
              <w:rPr>
                <w:rFonts w:ascii="方正书宋_GBK" w:eastAsia="方正书宋_GBK"/>
              </w:rPr>
            </w:pPr>
          </w:p>
        </w:tc>
        <w:tc>
          <w:tcPr>
            <w:tcW w:w="728" w:type="dxa"/>
            <w:vMerge w:val="restart"/>
            <w:noWrap w:val="0"/>
            <w:vAlign w:val="center"/>
          </w:tcPr>
          <w:p>
            <w:pPr>
              <w:overflowPunct w:val="0"/>
              <w:adjustRightInd w:val="0"/>
              <w:snapToGrid w:val="0"/>
              <w:jc w:val="center"/>
              <w:rPr>
                <w:rFonts w:ascii="方正书宋_GBK" w:eastAsia="方正书宋_GBK"/>
              </w:rPr>
            </w:pPr>
            <w:r>
              <w:rPr>
                <w:rFonts w:ascii="方正书宋_GBK" w:eastAsia="方正书宋_GBK"/>
              </w:rPr>
              <w:t>时效</w:t>
            </w:r>
          </w:p>
        </w:tc>
        <w:tc>
          <w:tcPr>
            <w:tcW w:w="1148" w:type="dxa"/>
            <w:noWrap w:val="0"/>
            <w:vAlign w:val="center"/>
          </w:tcPr>
          <w:p>
            <w:pPr>
              <w:overflowPunct w:val="0"/>
              <w:adjustRightInd w:val="0"/>
              <w:snapToGrid w:val="0"/>
              <w:rPr>
                <w:rFonts w:ascii="方正书宋_GBK" w:eastAsia="方正书宋_GBK"/>
              </w:rPr>
            </w:pPr>
            <w:r>
              <w:rPr>
                <w:rFonts w:ascii="方正书宋_GBK" w:eastAsia="方正书宋_GBK"/>
              </w:rPr>
              <w:t>项目建设工作完成及时率</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 xml:space="preserve"> 每降低1%，扣权重分的10%</w:t>
            </w:r>
          </w:p>
        </w:tc>
        <w:tc>
          <w:tcPr>
            <w:tcW w:w="1497" w:type="dxa"/>
            <w:noWrap w:val="0"/>
            <w:vAlign w:val="center"/>
          </w:tcPr>
          <w:p>
            <w:pPr>
              <w:overflowPunct w:val="0"/>
              <w:adjustRightInd w:val="0"/>
              <w:snapToGrid w:val="0"/>
              <w:rPr>
                <w:rFonts w:ascii="方正书宋_GBK" w:eastAsia="方正书宋_GBK"/>
              </w:rPr>
            </w:pPr>
            <w:r>
              <w:rPr>
                <w:rFonts w:ascii="方正书宋_GBK" w:eastAsia="方正书宋_GBK"/>
              </w:rPr>
              <w:t>　完成及时率=（及时完成工作数/计划完成工作数）×100%</w:t>
            </w:r>
          </w:p>
        </w:tc>
        <w:tc>
          <w:tcPr>
            <w:tcW w:w="560" w:type="dxa"/>
            <w:noWrap w:val="0"/>
            <w:vAlign w:val="center"/>
          </w:tcPr>
          <w:p>
            <w:pPr>
              <w:overflowPunct w:val="0"/>
              <w:adjustRightInd w:val="0"/>
              <w:snapToGrid w:val="0"/>
              <w:jc w:val="center"/>
              <w:rPr>
                <w:rFonts w:ascii="方正书宋_GBK" w:eastAsia="方正书宋_GBK"/>
              </w:rPr>
            </w:pPr>
            <w:r>
              <w:rPr>
                <w:rFonts w:ascii="方正书宋_GBK" w:eastAsia="方正书宋_GBK"/>
              </w:rPr>
              <w:t>=</w:t>
            </w:r>
          </w:p>
        </w:tc>
        <w:tc>
          <w:tcPr>
            <w:tcW w:w="672" w:type="dxa"/>
            <w:noWrap w:val="0"/>
            <w:vAlign w:val="center"/>
          </w:tcPr>
          <w:p>
            <w:pPr>
              <w:overflowPunct w:val="0"/>
              <w:adjustRightInd w:val="0"/>
              <w:snapToGrid w:val="0"/>
              <w:jc w:val="center"/>
              <w:rPr>
                <w:rFonts w:ascii="方正书宋_GBK" w:eastAsia="方正书宋_GBK"/>
              </w:rPr>
            </w:pPr>
          </w:p>
          <w:p>
            <w:pPr>
              <w:overflowPunct w:val="0"/>
              <w:adjustRightInd w:val="0"/>
              <w:snapToGrid w:val="0"/>
              <w:jc w:val="center"/>
              <w:rPr>
                <w:rFonts w:ascii="方正书宋_GBK" w:eastAsia="方正书宋_GBK"/>
              </w:rPr>
            </w:pPr>
            <w:r>
              <w:rPr>
                <w:rFonts w:ascii="方正书宋_GBK" w:eastAsia="方正书宋_GBK"/>
              </w:rPr>
              <w:t>100</w:t>
            </w:r>
          </w:p>
        </w:tc>
        <w:tc>
          <w:tcPr>
            <w:tcW w:w="476" w:type="dxa"/>
            <w:noWrap w:val="0"/>
            <w:vAlign w:val="center"/>
          </w:tcPr>
          <w:p>
            <w:pPr>
              <w:overflowPunct w:val="0"/>
              <w:adjustRightInd w:val="0"/>
              <w:snapToGrid w:val="0"/>
              <w:jc w:val="center"/>
              <w:rPr>
                <w:rFonts w:ascii="方正书宋_GBK" w:eastAsia="方正书宋_GBK"/>
              </w:rPr>
            </w:pPr>
          </w:p>
          <w:p>
            <w:pPr>
              <w:overflowPunct w:val="0"/>
              <w:adjustRightInd w:val="0"/>
              <w:snapToGrid w:val="0"/>
              <w:jc w:val="center"/>
              <w:rPr>
                <w:rFonts w:ascii="方正书宋_GBK" w:eastAsia="方正书宋_GBK"/>
              </w:rPr>
            </w:pPr>
            <w:r>
              <w:rPr>
                <w:rFonts w:ascii="方正书宋_GBK" w:eastAsia="方正书宋_GBK"/>
              </w:rPr>
              <w:t>%</w:t>
            </w:r>
          </w:p>
        </w:tc>
        <w:tc>
          <w:tcPr>
            <w:tcW w:w="1428" w:type="dxa"/>
            <w:noWrap w:val="0"/>
            <w:vAlign w:val="center"/>
          </w:tcPr>
          <w:p>
            <w:pPr>
              <w:overflowPunct w:val="0"/>
              <w:adjustRightInd w:val="0"/>
              <w:snapToGrid w:val="0"/>
              <w:rPr>
                <w:rFonts w:ascii="方正书宋_GBK" w:eastAsia="方正书宋_GBK"/>
              </w:rPr>
            </w:pPr>
            <w:r>
              <w:rPr>
                <w:rFonts w:ascii="方正书宋_GBK" w:eastAsia="方正书宋_GBK"/>
              </w:rPr>
              <w:t>建设工作完成及时情况的佐证材料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567" w:hRule="atLeast"/>
          <w:jc w:val="center"/>
        </w:trPr>
        <w:tc>
          <w:tcPr>
            <w:tcW w:w="625" w:type="dxa"/>
            <w:vMerge w:val="continue"/>
            <w:noWrap w:val="0"/>
            <w:vAlign w:val="center"/>
          </w:tcPr>
          <w:p>
            <w:pPr>
              <w:overflowPunct w:val="0"/>
              <w:rPr>
                <w:rFonts w:ascii="方正书宋_GBK" w:eastAsia="方正书宋_GBK"/>
              </w:rPr>
            </w:pPr>
          </w:p>
        </w:tc>
        <w:tc>
          <w:tcPr>
            <w:tcW w:w="728" w:type="dxa"/>
            <w:vMerge w:val="continue"/>
            <w:noWrap w:val="0"/>
            <w:vAlign w:val="center"/>
          </w:tcPr>
          <w:p>
            <w:pPr>
              <w:overflowPunct w:val="0"/>
              <w:adjustRightInd w:val="0"/>
              <w:snapToGrid w:val="0"/>
              <w:jc w:val="center"/>
              <w:rPr>
                <w:rFonts w:ascii="方正书宋_GBK" w:eastAsia="方正书宋_GBK"/>
              </w:rPr>
            </w:pPr>
          </w:p>
        </w:tc>
        <w:tc>
          <w:tcPr>
            <w:tcW w:w="1148" w:type="dxa"/>
            <w:noWrap w:val="0"/>
            <w:vAlign w:val="center"/>
          </w:tcPr>
          <w:p>
            <w:pPr>
              <w:overflowPunct w:val="0"/>
              <w:adjustRightInd w:val="0"/>
              <w:snapToGrid w:val="0"/>
              <w:rPr>
                <w:rFonts w:ascii="方正书宋_GBK" w:eastAsia="方正书宋_GBK"/>
              </w:rPr>
            </w:pPr>
            <w:r>
              <w:rPr>
                <w:rFonts w:ascii="方正书宋_GBK" w:eastAsia="方正书宋_GBK"/>
              </w:rPr>
              <w:t>资金拨付及时性</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按照规定时间拨付资金即得满分</w:t>
            </w:r>
          </w:p>
        </w:tc>
        <w:tc>
          <w:tcPr>
            <w:tcW w:w="1497" w:type="dxa"/>
            <w:noWrap w:val="0"/>
            <w:vAlign w:val="center"/>
          </w:tcPr>
          <w:p>
            <w:pPr>
              <w:overflowPunct w:val="0"/>
              <w:adjustRightInd w:val="0"/>
              <w:snapToGrid w:val="0"/>
              <w:rPr>
                <w:rFonts w:ascii="方正书宋_GBK" w:eastAsia="方正书宋_GBK"/>
              </w:rPr>
            </w:pPr>
            <w:r>
              <w:rPr>
                <w:rFonts w:ascii="方正书宋_GBK" w:eastAsia="方正书宋_GBK"/>
              </w:rPr>
              <w:t>该指标主要考核实际补贴的企业或项目资金发放的及时性及下发给各区县资金的发放及时性</w:t>
            </w:r>
          </w:p>
        </w:tc>
        <w:tc>
          <w:tcPr>
            <w:tcW w:w="560" w:type="dxa"/>
            <w:noWrap w:val="0"/>
            <w:vAlign w:val="center"/>
          </w:tcPr>
          <w:p>
            <w:pPr>
              <w:overflowPunct w:val="0"/>
              <w:adjustRightInd w:val="0"/>
              <w:snapToGrid w:val="0"/>
              <w:jc w:val="center"/>
              <w:rPr>
                <w:rFonts w:ascii="方正书宋_GBK" w:eastAsia="方正书宋_GBK"/>
              </w:rPr>
            </w:pPr>
          </w:p>
        </w:tc>
        <w:tc>
          <w:tcPr>
            <w:tcW w:w="672" w:type="dxa"/>
            <w:noWrap w:val="0"/>
            <w:vAlign w:val="center"/>
          </w:tcPr>
          <w:p>
            <w:pPr>
              <w:overflowPunct w:val="0"/>
              <w:adjustRightInd w:val="0"/>
              <w:snapToGrid w:val="0"/>
              <w:jc w:val="center"/>
              <w:rPr>
                <w:rFonts w:ascii="方正书宋_GBK" w:eastAsia="方正书宋_GBK"/>
              </w:rPr>
            </w:pPr>
            <w:r>
              <w:rPr>
                <w:rFonts w:ascii="方正书宋_GBK" w:eastAsia="方正书宋_GBK"/>
              </w:rPr>
              <w:t>及时</w:t>
            </w:r>
          </w:p>
        </w:tc>
        <w:tc>
          <w:tcPr>
            <w:tcW w:w="476" w:type="dxa"/>
            <w:noWrap w:val="0"/>
            <w:vAlign w:val="center"/>
          </w:tcPr>
          <w:p>
            <w:pPr>
              <w:overflowPunct w:val="0"/>
              <w:adjustRightInd w:val="0"/>
              <w:snapToGrid w:val="0"/>
              <w:jc w:val="center"/>
              <w:rPr>
                <w:rFonts w:ascii="方正书宋_GBK" w:eastAsia="方正书宋_GBK"/>
              </w:rPr>
            </w:pPr>
          </w:p>
        </w:tc>
        <w:tc>
          <w:tcPr>
            <w:tcW w:w="1428" w:type="dxa"/>
            <w:noWrap w:val="0"/>
            <w:vAlign w:val="center"/>
          </w:tcPr>
          <w:p>
            <w:pPr>
              <w:overflowPunct w:val="0"/>
              <w:adjustRightInd w:val="0"/>
              <w:snapToGrid w:val="0"/>
              <w:rPr>
                <w:rFonts w:ascii="方正书宋_GBK" w:eastAsia="方正书宋_GBK"/>
              </w:rPr>
            </w:pPr>
            <w:r>
              <w:rPr>
                <w:rFonts w:ascii="方正书宋_GBK" w:eastAsia="方正书宋_GBK"/>
              </w:rPr>
              <w:t>年度工作总结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567" w:hRule="atLeast"/>
          <w:jc w:val="center"/>
        </w:trPr>
        <w:tc>
          <w:tcPr>
            <w:tcW w:w="625" w:type="dxa"/>
            <w:vMerge w:val="continue"/>
            <w:noWrap w:val="0"/>
            <w:vAlign w:val="center"/>
          </w:tcPr>
          <w:p>
            <w:pPr>
              <w:overflowPunct w:val="0"/>
              <w:rPr>
                <w:rFonts w:ascii="方正书宋_GBK" w:eastAsia="方正书宋_GBK"/>
              </w:rPr>
            </w:pPr>
          </w:p>
        </w:tc>
        <w:tc>
          <w:tcPr>
            <w:tcW w:w="728" w:type="dxa"/>
            <w:vMerge w:val="restart"/>
            <w:noWrap w:val="0"/>
            <w:vAlign w:val="center"/>
          </w:tcPr>
          <w:p>
            <w:pPr>
              <w:overflowPunct w:val="0"/>
              <w:adjustRightInd w:val="0"/>
              <w:snapToGrid w:val="0"/>
              <w:ind w:firstLine="105" w:firstLineChars="50"/>
              <w:rPr>
                <w:rFonts w:ascii="方正书宋_GBK" w:eastAsia="方正书宋_GBK"/>
              </w:rPr>
            </w:pPr>
            <w:r>
              <w:rPr>
                <w:rFonts w:ascii="方正书宋_GBK" w:eastAsia="方正书宋_GBK"/>
              </w:rPr>
              <w:t>成本</w:t>
            </w:r>
          </w:p>
        </w:tc>
        <w:tc>
          <w:tcPr>
            <w:tcW w:w="1148" w:type="dxa"/>
            <w:noWrap w:val="0"/>
            <w:vAlign w:val="center"/>
          </w:tcPr>
          <w:p>
            <w:pPr>
              <w:overflowPunct w:val="0"/>
              <w:textAlignment w:val="center"/>
              <w:rPr>
                <w:rFonts w:ascii="方正书宋_GBK" w:eastAsia="方正书宋_GBK"/>
              </w:rPr>
            </w:pPr>
            <w:r>
              <w:rPr>
                <w:rFonts w:ascii="方正书宋_GBK" w:eastAsia="方正书宋_GBK"/>
              </w:rPr>
              <w:t>公用经费控制率</w:t>
            </w:r>
          </w:p>
        </w:tc>
        <w:tc>
          <w:tcPr>
            <w:tcW w:w="1932" w:type="dxa"/>
            <w:noWrap w:val="0"/>
            <w:vAlign w:val="center"/>
          </w:tcPr>
          <w:p>
            <w:pPr>
              <w:overflowPunct w:val="0"/>
              <w:textAlignment w:val="center"/>
              <w:rPr>
                <w:rFonts w:ascii="方正书宋_GBK" w:eastAsia="方正书宋_GBK"/>
              </w:rPr>
            </w:pPr>
            <w:r>
              <w:rPr>
                <w:rFonts w:ascii="方正书宋_GBK" w:eastAsia="方正书宋_GBK"/>
              </w:rPr>
              <w:t>“三公”经费实际支出数≤预算安排的三公经费数，得50%权重分，否则不得分；日常公用经费决算数≤日常公用经费调整预算数，得50%权重分，否则不得分</w:t>
            </w:r>
          </w:p>
        </w:tc>
        <w:tc>
          <w:tcPr>
            <w:tcW w:w="1497" w:type="dxa"/>
            <w:noWrap w:val="0"/>
            <w:vAlign w:val="center"/>
          </w:tcPr>
          <w:p>
            <w:pPr>
              <w:overflowPunct w:val="0"/>
              <w:textAlignment w:val="center"/>
              <w:rPr>
                <w:rFonts w:ascii="方正书宋_GBK" w:eastAsia="方正书宋_GBK"/>
              </w:rPr>
            </w:pPr>
            <w:r>
              <w:rPr>
                <w:rFonts w:ascii="方正书宋_GBK" w:eastAsia="方正书宋_GBK"/>
              </w:rPr>
              <w:t>本年度实际支出的公用经费总额小于预算安排的公经费用经费总额。反映和考核对运转成本的实际控制程度</w:t>
            </w:r>
          </w:p>
        </w:tc>
        <w:tc>
          <w:tcPr>
            <w:tcW w:w="560" w:type="dxa"/>
            <w:noWrap w:val="0"/>
            <w:vAlign w:val="center"/>
          </w:tcPr>
          <w:p>
            <w:pPr>
              <w:overflowPunct w:val="0"/>
              <w:jc w:val="center"/>
              <w:textAlignment w:val="center"/>
              <w:rPr>
                <w:rFonts w:ascii="方正书宋_GBK" w:eastAsia="方正书宋_GBK"/>
              </w:rPr>
            </w:pPr>
            <w:r>
              <w:rPr>
                <w:rFonts w:ascii="方正书宋_GBK" w:eastAsia="方正书宋_GBK"/>
              </w:rPr>
              <w:t>≤</w:t>
            </w:r>
          </w:p>
        </w:tc>
        <w:tc>
          <w:tcPr>
            <w:tcW w:w="672" w:type="dxa"/>
            <w:noWrap w:val="0"/>
            <w:vAlign w:val="center"/>
          </w:tcPr>
          <w:p>
            <w:pPr>
              <w:overflowPunct w:val="0"/>
              <w:jc w:val="center"/>
              <w:textAlignment w:val="center"/>
              <w:rPr>
                <w:rFonts w:ascii="方正书宋_GBK" w:eastAsia="方正书宋_GBK"/>
              </w:rPr>
            </w:pPr>
            <w:r>
              <w:rPr>
                <w:rFonts w:ascii="方正书宋_GBK" w:eastAsia="方正书宋_GBK"/>
              </w:rPr>
              <w:t>100</w:t>
            </w:r>
          </w:p>
        </w:tc>
        <w:tc>
          <w:tcPr>
            <w:tcW w:w="476" w:type="dxa"/>
            <w:noWrap w:val="0"/>
            <w:vAlign w:val="center"/>
          </w:tcPr>
          <w:p>
            <w:pPr>
              <w:overflowPunct w:val="0"/>
              <w:jc w:val="center"/>
              <w:textAlignment w:val="center"/>
              <w:rPr>
                <w:rFonts w:ascii="方正书宋_GBK" w:eastAsia="方正书宋_GBK"/>
              </w:rPr>
            </w:pPr>
            <w:r>
              <w:rPr>
                <w:rFonts w:ascii="方正书宋_GBK" w:eastAsia="方正书宋_GBK"/>
              </w:rPr>
              <w:t>%</w:t>
            </w:r>
          </w:p>
        </w:tc>
        <w:tc>
          <w:tcPr>
            <w:tcW w:w="1428" w:type="dxa"/>
            <w:noWrap w:val="0"/>
            <w:vAlign w:val="center"/>
          </w:tcPr>
          <w:p>
            <w:pPr>
              <w:overflowPunct w:val="0"/>
              <w:textAlignment w:val="center"/>
              <w:rPr>
                <w:rFonts w:ascii="方正书宋_GBK" w:eastAsia="方正书宋_GBK"/>
              </w:rPr>
            </w:pPr>
            <w:r>
              <w:rPr>
                <w:rFonts w:ascii="方正书宋_GBK" w:eastAsia="方正书宋_GBK"/>
              </w:rPr>
              <w:t>决算报表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567" w:hRule="atLeast"/>
          <w:jc w:val="center"/>
        </w:trPr>
        <w:tc>
          <w:tcPr>
            <w:tcW w:w="625" w:type="dxa"/>
            <w:vMerge w:val="continue"/>
            <w:noWrap w:val="0"/>
            <w:vAlign w:val="center"/>
          </w:tcPr>
          <w:p>
            <w:pPr>
              <w:overflowPunct w:val="0"/>
              <w:rPr>
                <w:rFonts w:ascii="方正书宋_GBK" w:eastAsia="方正书宋_GBK"/>
              </w:rPr>
            </w:pPr>
          </w:p>
        </w:tc>
        <w:tc>
          <w:tcPr>
            <w:tcW w:w="728" w:type="dxa"/>
            <w:vMerge w:val="continue"/>
            <w:noWrap w:val="0"/>
            <w:vAlign w:val="center"/>
          </w:tcPr>
          <w:p>
            <w:pPr>
              <w:overflowPunct w:val="0"/>
              <w:adjustRightInd w:val="0"/>
              <w:snapToGrid w:val="0"/>
              <w:jc w:val="center"/>
              <w:rPr>
                <w:rFonts w:ascii="方正书宋_GBK" w:eastAsia="方正书宋_GBK"/>
              </w:rPr>
            </w:pPr>
          </w:p>
        </w:tc>
        <w:tc>
          <w:tcPr>
            <w:tcW w:w="1148" w:type="dxa"/>
            <w:noWrap w:val="0"/>
            <w:vAlign w:val="center"/>
          </w:tcPr>
          <w:p>
            <w:pPr>
              <w:overflowPunct w:val="0"/>
              <w:adjustRightInd w:val="0"/>
              <w:snapToGrid w:val="0"/>
              <w:rPr>
                <w:rFonts w:ascii="方正书宋_GBK" w:eastAsia="方正书宋_GBK"/>
              </w:rPr>
            </w:pPr>
            <w:r>
              <w:rPr>
                <w:rFonts w:ascii="方正书宋_GBK" w:eastAsia="方正书宋_GBK"/>
              </w:rPr>
              <w:t>资金奖补、下拨标准</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按标准支出资金即得满分</w:t>
            </w:r>
          </w:p>
        </w:tc>
        <w:tc>
          <w:tcPr>
            <w:tcW w:w="1497" w:type="dxa"/>
            <w:noWrap w:val="0"/>
            <w:vAlign w:val="center"/>
          </w:tcPr>
          <w:p>
            <w:pPr>
              <w:overflowPunct w:val="0"/>
              <w:adjustRightInd w:val="0"/>
              <w:snapToGrid w:val="0"/>
              <w:rPr>
                <w:rFonts w:ascii="方正书宋_GBK" w:eastAsia="方正书宋_GBK"/>
              </w:rPr>
            </w:pPr>
            <w:r>
              <w:rPr>
                <w:rFonts w:ascii="方正书宋_GBK" w:eastAsia="方正书宋_GBK"/>
              </w:rPr>
              <w:t>该指标主要考核各项奖补资金及下拨资金是否按标准发放</w:t>
            </w:r>
          </w:p>
          <w:p>
            <w:pPr>
              <w:overflowPunct w:val="0"/>
              <w:adjustRightInd w:val="0"/>
              <w:snapToGrid w:val="0"/>
              <w:rPr>
                <w:rFonts w:ascii="方正书宋_GBK" w:eastAsia="方正书宋_GBK"/>
              </w:rPr>
            </w:pPr>
          </w:p>
        </w:tc>
        <w:tc>
          <w:tcPr>
            <w:tcW w:w="560" w:type="dxa"/>
            <w:noWrap w:val="0"/>
            <w:vAlign w:val="center"/>
          </w:tcPr>
          <w:p>
            <w:pPr>
              <w:overflowPunct w:val="0"/>
              <w:adjustRightInd w:val="0"/>
              <w:snapToGrid w:val="0"/>
              <w:jc w:val="center"/>
              <w:rPr>
                <w:rFonts w:ascii="方正书宋_GBK" w:eastAsia="方正书宋_GBK"/>
              </w:rPr>
            </w:pPr>
          </w:p>
        </w:tc>
        <w:tc>
          <w:tcPr>
            <w:tcW w:w="672" w:type="dxa"/>
            <w:noWrap w:val="0"/>
            <w:vAlign w:val="center"/>
          </w:tcPr>
          <w:p>
            <w:pPr>
              <w:overflowPunct w:val="0"/>
              <w:adjustRightInd w:val="0"/>
              <w:snapToGrid w:val="0"/>
              <w:jc w:val="center"/>
              <w:rPr>
                <w:rFonts w:ascii="方正书宋_GBK" w:eastAsia="方正书宋_GBK"/>
              </w:rPr>
            </w:pPr>
            <w:r>
              <w:rPr>
                <w:rFonts w:ascii="方正书宋_GBK" w:eastAsia="方正书宋_GBK"/>
              </w:rPr>
              <w:t>按标准</w:t>
            </w:r>
          </w:p>
        </w:tc>
        <w:tc>
          <w:tcPr>
            <w:tcW w:w="476" w:type="dxa"/>
            <w:noWrap w:val="0"/>
            <w:vAlign w:val="center"/>
          </w:tcPr>
          <w:p>
            <w:pPr>
              <w:overflowPunct w:val="0"/>
              <w:adjustRightInd w:val="0"/>
              <w:snapToGrid w:val="0"/>
              <w:jc w:val="center"/>
              <w:rPr>
                <w:rFonts w:ascii="方正书宋_GBK" w:eastAsia="方正书宋_GBK"/>
              </w:rPr>
            </w:pPr>
          </w:p>
        </w:tc>
        <w:tc>
          <w:tcPr>
            <w:tcW w:w="1428" w:type="dxa"/>
            <w:noWrap w:val="0"/>
            <w:vAlign w:val="center"/>
          </w:tcPr>
          <w:p>
            <w:pPr>
              <w:overflowPunct w:val="0"/>
              <w:adjustRightInd w:val="0"/>
              <w:snapToGrid w:val="0"/>
              <w:rPr>
                <w:rFonts w:ascii="方正书宋_GBK" w:eastAsia="方正书宋_GBK"/>
              </w:rPr>
            </w:pPr>
            <w:r>
              <w:rPr>
                <w:rFonts w:ascii="方正书宋_GBK" w:eastAsia="方正书宋_GBK"/>
              </w:rPr>
              <w:t>奖补文件、下拨文件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2551" w:hRule="atLeast"/>
          <w:jc w:val="center"/>
        </w:trPr>
        <w:tc>
          <w:tcPr>
            <w:tcW w:w="625" w:type="dxa"/>
            <w:vMerge w:val="restart"/>
            <w:noWrap w:val="0"/>
            <w:vAlign w:val="center"/>
          </w:tcPr>
          <w:p>
            <w:pPr>
              <w:overflowPunct w:val="0"/>
              <w:adjustRightInd w:val="0"/>
              <w:snapToGrid w:val="0"/>
              <w:jc w:val="center"/>
              <w:rPr>
                <w:rFonts w:hint="eastAsia" w:ascii="方正书宋_GBK" w:eastAsia="方正书宋_GBK"/>
              </w:rPr>
            </w:pPr>
            <w:r>
              <w:rPr>
                <w:rFonts w:ascii="方正书宋_GBK" w:eastAsia="方正书宋_GBK"/>
              </w:rPr>
              <w:t>部门效果</w:t>
            </w:r>
          </w:p>
        </w:tc>
        <w:tc>
          <w:tcPr>
            <w:tcW w:w="728" w:type="dxa"/>
            <w:noWrap w:val="0"/>
            <w:vAlign w:val="center"/>
          </w:tcPr>
          <w:p>
            <w:pPr>
              <w:overflowPunct w:val="0"/>
              <w:adjustRightInd w:val="0"/>
              <w:snapToGrid w:val="0"/>
              <w:jc w:val="center"/>
              <w:rPr>
                <w:rFonts w:ascii="方正书宋_GBK" w:eastAsia="方正书宋_GBK"/>
              </w:rPr>
            </w:pPr>
            <w:r>
              <w:rPr>
                <w:rFonts w:ascii="方正书宋_GBK" w:eastAsia="方正书宋_GBK"/>
              </w:rPr>
              <w:t>经济</w:t>
            </w:r>
          </w:p>
          <w:p>
            <w:pPr>
              <w:overflowPunct w:val="0"/>
              <w:adjustRightInd w:val="0"/>
              <w:snapToGrid w:val="0"/>
              <w:jc w:val="center"/>
              <w:rPr>
                <w:rFonts w:ascii="方正书宋_GBK" w:eastAsia="方正书宋_GBK"/>
              </w:rPr>
            </w:pPr>
            <w:r>
              <w:rPr>
                <w:rFonts w:ascii="方正书宋_GBK" w:eastAsia="方正书宋_GBK"/>
              </w:rPr>
              <w:t>效益</w:t>
            </w:r>
          </w:p>
        </w:tc>
        <w:tc>
          <w:tcPr>
            <w:tcW w:w="1148" w:type="dxa"/>
            <w:noWrap w:val="0"/>
            <w:vAlign w:val="center"/>
          </w:tcPr>
          <w:p>
            <w:pPr>
              <w:overflowPunct w:val="0"/>
              <w:adjustRightInd w:val="0"/>
              <w:snapToGrid w:val="0"/>
              <w:rPr>
                <w:rFonts w:ascii="方正书宋_GBK" w:eastAsia="方正书宋_GBK"/>
              </w:rPr>
            </w:pPr>
            <w:r>
              <w:rPr>
                <w:rFonts w:ascii="方正书宋_GBK" w:eastAsia="方正书宋_GBK"/>
              </w:rPr>
              <w:t>推动“5·18”经洽会顺利开展　</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达成年度指标得100%-80%（含）权重分、部分达成年度指标并具有一定效果得80%-60%（含）权重分、未达成年度指标且效果较差三档得60%-0（含）权重分</w:t>
            </w:r>
          </w:p>
        </w:tc>
        <w:tc>
          <w:tcPr>
            <w:tcW w:w="1497" w:type="dxa"/>
            <w:noWrap w:val="0"/>
            <w:vAlign w:val="center"/>
          </w:tcPr>
          <w:p>
            <w:pPr>
              <w:overflowPunct w:val="0"/>
              <w:adjustRightInd w:val="0"/>
              <w:snapToGrid w:val="0"/>
              <w:rPr>
                <w:rFonts w:ascii="方正书宋_GBK" w:eastAsia="方正书宋_GBK"/>
              </w:rPr>
            </w:pPr>
            <w:r>
              <w:rPr>
                <w:rFonts w:ascii="方正书宋_GBK" w:eastAsia="方正书宋_GBK"/>
              </w:rPr>
              <w:t>该指标主要考核项目开展对“5·18”经洽会顺利开展的推动作用　</w:t>
            </w:r>
          </w:p>
        </w:tc>
        <w:tc>
          <w:tcPr>
            <w:tcW w:w="560" w:type="dxa"/>
            <w:noWrap w:val="0"/>
            <w:vAlign w:val="center"/>
          </w:tcPr>
          <w:p>
            <w:pPr>
              <w:overflowPunct w:val="0"/>
              <w:adjustRightInd w:val="0"/>
              <w:snapToGrid w:val="0"/>
              <w:jc w:val="center"/>
              <w:rPr>
                <w:rFonts w:ascii="方正书宋_GBK" w:eastAsia="方正书宋_GBK"/>
              </w:rPr>
            </w:pPr>
          </w:p>
        </w:tc>
        <w:tc>
          <w:tcPr>
            <w:tcW w:w="672" w:type="dxa"/>
            <w:noWrap w:val="0"/>
            <w:vAlign w:val="center"/>
          </w:tcPr>
          <w:p>
            <w:pPr>
              <w:overflowPunct w:val="0"/>
              <w:adjustRightInd w:val="0"/>
              <w:snapToGrid w:val="0"/>
              <w:jc w:val="center"/>
              <w:rPr>
                <w:rFonts w:ascii="方正书宋_GBK" w:eastAsia="方正书宋_GBK"/>
              </w:rPr>
            </w:pPr>
            <w:r>
              <w:rPr>
                <w:rFonts w:ascii="方正书宋_GBK" w:eastAsia="方正书宋_GBK"/>
              </w:rPr>
              <w:t>推动</w:t>
            </w:r>
          </w:p>
        </w:tc>
        <w:tc>
          <w:tcPr>
            <w:tcW w:w="476" w:type="dxa"/>
            <w:noWrap w:val="0"/>
            <w:vAlign w:val="center"/>
          </w:tcPr>
          <w:p>
            <w:pPr>
              <w:overflowPunct w:val="0"/>
              <w:adjustRightInd w:val="0"/>
              <w:snapToGrid w:val="0"/>
              <w:jc w:val="center"/>
              <w:rPr>
                <w:rFonts w:ascii="方正书宋_GBK" w:eastAsia="方正书宋_GBK"/>
              </w:rPr>
            </w:pPr>
          </w:p>
        </w:tc>
        <w:tc>
          <w:tcPr>
            <w:tcW w:w="1428" w:type="dxa"/>
            <w:noWrap w:val="0"/>
            <w:vAlign w:val="center"/>
          </w:tcPr>
          <w:p>
            <w:pPr>
              <w:overflowPunct w:val="0"/>
              <w:adjustRightInd w:val="0"/>
              <w:snapToGrid w:val="0"/>
              <w:rPr>
                <w:rFonts w:ascii="方正书宋_GBK" w:eastAsia="方正书宋_GBK"/>
              </w:rPr>
            </w:pPr>
            <w:r>
              <w:rPr>
                <w:rFonts w:ascii="方正书宋_GBK" w:eastAsia="方正书宋_GBK"/>
              </w:rPr>
              <w:t>年终工作总结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2455" w:hRule="atLeast"/>
          <w:jc w:val="center"/>
        </w:trPr>
        <w:tc>
          <w:tcPr>
            <w:tcW w:w="625" w:type="dxa"/>
            <w:vMerge w:val="continue"/>
            <w:noWrap w:val="0"/>
            <w:vAlign w:val="center"/>
          </w:tcPr>
          <w:p>
            <w:pPr>
              <w:overflowPunct w:val="0"/>
              <w:adjustRightInd w:val="0"/>
              <w:snapToGrid w:val="0"/>
              <w:jc w:val="center"/>
              <w:rPr>
                <w:rFonts w:ascii="方正书宋_GBK" w:eastAsia="方正书宋_GBK"/>
              </w:rPr>
            </w:pPr>
          </w:p>
        </w:tc>
        <w:tc>
          <w:tcPr>
            <w:tcW w:w="728" w:type="dxa"/>
            <w:vMerge w:val="restart"/>
            <w:noWrap w:val="0"/>
            <w:vAlign w:val="center"/>
          </w:tcPr>
          <w:p>
            <w:pPr>
              <w:overflowPunct w:val="0"/>
              <w:adjustRightInd w:val="0"/>
              <w:snapToGrid w:val="0"/>
              <w:jc w:val="center"/>
              <w:rPr>
                <w:rFonts w:ascii="方正书宋_GBK" w:eastAsia="方正书宋_GBK"/>
              </w:rPr>
            </w:pPr>
            <w:r>
              <w:rPr>
                <w:rFonts w:ascii="方正书宋_GBK" w:eastAsia="方正书宋_GBK"/>
              </w:rPr>
              <w:t>社会</w:t>
            </w:r>
          </w:p>
          <w:p>
            <w:pPr>
              <w:overflowPunct w:val="0"/>
              <w:adjustRightInd w:val="0"/>
              <w:snapToGrid w:val="0"/>
              <w:jc w:val="center"/>
              <w:rPr>
                <w:rFonts w:ascii="方正书宋_GBK" w:eastAsia="方正书宋_GBK"/>
              </w:rPr>
            </w:pPr>
            <w:r>
              <w:rPr>
                <w:rFonts w:ascii="方正书宋_GBK" w:eastAsia="方正书宋_GBK"/>
              </w:rPr>
              <w:t>效益</w:t>
            </w:r>
          </w:p>
        </w:tc>
        <w:tc>
          <w:tcPr>
            <w:tcW w:w="1148" w:type="dxa"/>
            <w:noWrap w:val="0"/>
            <w:vAlign w:val="center"/>
          </w:tcPr>
          <w:p>
            <w:pPr>
              <w:overflowPunct w:val="0"/>
              <w:textAlignment w:val="center"/>
              <w:rPr>
                <w:rFonts w:ascii="方正书宋_GBK" w:eastAsia="方正书宋_GBK"/>
              </w:rPr>
            </w:pPr>
            <w:r>
              <w:rPr>
                <w:rFonts w:ascii="方正书宋_GBK" w:eastAsia="方正书宋_GBK"/>
              </w:rPr>
              <w:t>推进政府投资及重大项目建设</w:t>
            </w:r>
          </w:p>
        </w:tc>
        <w:tc>
          <w:tcPr>
            <w:tcW w:w="1932" w:type="dxa"/>
            <w:noWrap w:val="0"/>
            <w:vAlign w:val="center"/>
          </w:tcPr>
          <w:p>
            <w:pPr>
              <w:overflowPunct w:val="0"/>
              <w:textAlignment w:val="center"/>
              <w:rPr>
                <w:rFonts w:ascii="方正书宋_GBK" w:eastAsia="方正书宋_GBK"/>
              </w:rPr>
            </w:pPr>
            <w:r>
              <w:rPr>
                <w:rFonts w:ascii="方正书宋_GBK" w:eastAsia="方正书宋_GBK"/>
              </w:rPr>
              <w:t>达成年度指标得100%-80%（含）权重分、部分达成年度指标并具有一定效果得80%-60%（含）权重分、未达成年度指标且效果较差三档得60%-0（含）权重分</w:t>
            </w:r>
          </w:p>
        </w:tc>
        <w:tc>
          <w:tcPr>
            <w:tcW w:w="1497" w:type="dxa"/>
            <w:noWrap w:val="0"/>
            <w:vAlign w:val="center"/>
          </w:tcPr>
          <w:p>
            <w:pPr>
              <w:overflowPunct w:val="0"/>
              <w:textAlignment w:val="center"/>
              <w:rPr>
                <w:rFonts w:ascii="方正书宋_GBK" w:eastAsia="方正书宋_GBK"/>
              </w:rPr>
            </w:pPr>
            <w:r>
              <w:rPr>
                <w:rFonts w:ascii="方正书宋_GBK" w:eastAsia="方正书宋_GBK"/>
              </w:rPr>
              <w:t>通过平衡需政府投资和涉及重大建设项目的专项规划，对全市重点投资项目的完成起到的作用</w:t>
            </w:r>
          </w:p>
        </w:tc>
        <w:tc>
          <w:tcPr>
            <w:tcW w:w="560" w:type="dxa"/>
            <w:noWrap w:val="0"/>
            <w:vAlign w:val="center"/>
          </w:tcPr>
          <w:p>
            <w:pPr>
              <w:overflowPunct w:val="0"/>
              <w:jc w:val="center"/>
              <w:rPr>
                <w:rFonts w:ascii="方正书宋_GBK" w:eastAsia="方正书宋_GBK"/>
              </w:rPr>
            </w:pPr>
          </w:p>
        </w:tc>
        <w:tc>
          <w:tcPr>
            <w:tcW w:w="672" w:type="dxa"/>
            <w:noWrap w:val="0"/>
            <w:vAlign w:val="center"/>
          </w:tcPr>
          <w:p>
            <w:pPr>
              <w:overflowPunct w:val="0"/>
              <w:jc w:val="center"/>
              <w:textAlignment w:val="center"/>
              <w:rPr>
                <w:rFonts w:ascii="方正书宋_GBK" w:eastAsia="方正书宋_GBK"/>
              </w:rPr>
            </w:pPr>
            <w:r>
              <w:rPr>
                <w:rFonts w:ascii="方正书宋_GBK" w:eastAsia="方正书宋_GBK"/>
              </w:rPr>
              <w:t>推进</w:t>
            </w:r>
          </w:p>
        </w:tc>
        <w:tc>
          <w:tcPr>
            <w:tcW w:w="476" w:type="dxa"/>
            <w:noWrap w:val="0"/>
            <w:vAlign w:val="center"/>
          </w:tcPr>
          <w:p>
            <w:pPr>
              <w:overflowPunct w:val="0"/>
              <w:jc w:val="center"/>
              <w:rPr>
                <w:rFonts w:ascii="方正书宋_GBK" w:eastAsia="方正书宋_GBK"/>
              </w:rPr>
            </w:pPr>
          </w:p>
        </w:tc>
        <w:tc>
          <w:tcPr>
            <w:tcW w:w="1428" w:type="dxa"/>
            <w:noWrap w:val="0"/>
            <w:vAlign w:val="center"/>
          </w:tcPr>
          <w:p>
            <w:pPr>
              <w:overflowPunct w:val="0"/>
              <w:textAlignment w:val="center"/>
              <w:rPr>
                <w:rFonts w:ascii="方正书宋_GBK" w:eastAsia="方正书宋_GBK"/>
              </w:rPr>
            </w:pPr>
            <w:r>
              <w:rPr>
                <w:rFonts w:ascii="方正书宋_GBK" w:eastAsia="方正书宋_GBK"/>
              </w:rPr>
              <w:t>工作方案、年度工作总结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1098" w:hRule="atLeast"/>
          <w:jc w:val="center"/>
        </w:trPr>
        <w:tc>
          <w:tcPr>
            <w:tcW w:w="625" w:type="dxa"/>
            <w:vMerge w:val="continue"/>
            <w:noWrap w:val="0"/>
            <w:vAlign w:val="center"/>
          </w:tcPr>
          <w:p>
            <w:pPr>
              <w:overflowPunct w:val="0"/>
              <w:rPr>
                <w:rFonts w:ascii="方正书宋_GBK" w:eastAsia="方正书宋_GBK"/>
              </w:rPr>
            </w:pPr>
          </w:p>
        </w:tc>
        <w:tc>
          <w:tcPr>
            <w:tcW w:w="728" w:type="dxa"/>
            <w:vMerge w:val="continue"/>
            <w:noWrap w:val="0"/>
            <w:vAlign w:val="center"/>
          </w:tcPr>
          <w:p>
            <w:pPr>
              <w:overflowPunct w:val="0"/>
              <w:rPr>
                <w:rFonts w:ascii="方正书宋_GBK" w:eastAsia="方正书宋_GBK"/>
              </w:rPr>
            </w:pPr>
          </w:p>
        </w:tc>
        <w:tc>
          <w:tcPr>
            <w:tcW w:w="1148" w:type="dxa"/>
            <w:noWrap w:val="0"/>
            <w:vAlign w:val="center"/>
          </w:tcPr>
          <w:p>
            <w:pPr>
              <w:overflowPunct w:val="0"/>
              <w:textAlignment w:val="center"/>
              <w:rPr>
                <w:rFonts w:ascii="方正书宋_GBK" w:eastAsia="方正书宋_GBK"/>
              </w:rPr>
            </w:pPr>
            <w:r>
              <w:rPr>
                <w:rFonts w:ascii="方正书宋_GBK" w:eastAsia="方正书宋_GBK"/>
              </w:rPr>
              <w:t>营商环境便利度</w:t>
            </w:r>
          </w:p>
        </w:tc>
        <w:tc>
          <w:tcPr>
            <w:tcW w:w="1932" w:type="dxa"/>
            <w:noWrap w:val="0"/>
            <w:vAlign w:val="center"/>
          </w:tcPr>
          <w:p>
            <w:pPr>
              <w:overflowPunct w:val="0"/>
              <w:textAlignment w:val="center"/>
              <w:rPr>
                <w:rFonts w:ascii="方正书宋_GBK" w:eastAsia="方正书宋_GBK"/>
              </w:rPr>
            </w:pPr>
            <w:r>
              <w:rPr>
                <w:rFonts w:ascii="方正书宋_GBK" w:eastAsia="方正书宋_GBK"/>
              </w:rPr>
              <w:t>每减少1分，扣权重分的10%</w:t>
            </w:r>
          </w:p>
        </w:tc>
        <w:tc>
          <w:tcPr>
            <w:tcW w:w="1497" w:type="dxa"/>
            <w:noWrap w:val="0"/>
            <w:vAlign w:val="center"/>
          </w:tcPr>
          <w:p>
            <w:pPr>
              <w:overflowPunct w:val="0"/>
              <w:textAlignment w:val="center"/>
              <w:rPr>
                <w:rFonts w:ascii="方正书宋_GBK" w:eastAsia="方正书宋_GBK"/>
              </w:rPr>
            </w:pPr>
            <w:r>
              <w:rPr>
                <w:rFonts w:ascii="方正书宋_GBK" w:eastAsia="方正书宋_GBK"/>
              </w:rPr>
              <w:t>该指标主要考核廊坊市营商环境的便利度</w:t>
            </w:r>
          </w:p>
        </w:tc>
        <w:tc>
          <w:tcPr>
            <w:tcW w:w="560" w:type="dxa"/>
            <w:noWrap w:val="0"/>
            <w:vAlign w:val="center"/>
          </w:tcPr>
          <w:p>
            <w:pPr>
              <w:overflowPunct w:val="0"/>
              <w:jc w:val="center"/>
              <w:textAlignment w:val="center"/>
              <w:rPr>
                <w:rFonts w:ascii="方正书宋_GBK" w:eastAsia="方正书宋_GBK"/>
              </w:rPr>
            </w:pPr>
            <w:r>
              <w:rPr>
                <w:rFonts w:ascii="方正书宋_GBK" w:eastAsia="方正书宋_GBK"/>
              </w:rPr>
              <w:t>≥</w:t>
            </w:r>
          </w:p>
        </w:tc>
        <w:tc>
          <w:tcPr>
            <w:tcW w:w="672" w:type="dxa"/>
            <w:noWrap w:val="0"/>
            <w:vAlign w:val="center"/>
          </w:tcPr>
          <w:p>
            <w:pPr>
              <w:overflowPunct w:val="0"/>
              <w:jc w:val="center"/>
              <w:textAlignment w:val="center"/>
              <w:rPr>
                <w:rFonts w:ascii="方正书宋_GBK" w:eastAsia="方正书宋_GBK"/>
              </w:rPr>
            </w:pPr>
            <w:r>
              <w:rPr>
                <w:rFonts w:ascii="方正书宋_GBK" w:eastAsia="方正书宋_GBK"/>
              </w:rPr>
              <w:t>80</w:t>
            </w:r>
          </w:p>
        </w:tc>
        <w:tc>
          <w:tcPr>
            <w:tcW w:w="476" w:type="dxa"/>
            <w:noWrap w:val="0"/>
            <w:vAlign w:val="center"/>
          </w:tcPr>
          <w:p>
            <w:pPr>
              <w:overflowPunct w:val="0"/>
              <w:jc w:val="center"/>
              <w:textAlignment w:val="center"/>
              <w:rPr>
                <w:rFonts w:ascii="方正书宋_GBK" w:eastAsia="方正书宋_GBK"/>
              </w:rPr>
            </w:pPr>
            <w:r>
              <w:rPr>
                <w:rFonts w:ascii="方正书宋_GBK" w:eastAsia="方正书宋_GBK"/>
              </w:rPr>
              <w:t>分</w:t>
            </w:r>
          </w:p>
        </w:tc>
        <w:tc>
          <w:tcPr>
            <w:tcW w:w="1428" w:type="dxa"/>
            <w:noWrap w:val="0"/>
            <w:vAlign w:val="center"/>
          </w:tcPr>
          <w:p>
            <w:pPr>
              <w:overflowPunct w:val="0"/>
              <w:textAlignment w:val="center"/>
              <w:rPr>
                <w:rFonts w:ascii="方正书宋_GBK" w:eastAsia="方正书宋_GBK"/>
              </w:rPr>
            </w:pPr>
            <w:r>
              <w:rPr>
                <w:rFonts w:ascii="方正书宋_GBK" w:eastAsia="方正书宋_GBK"/>
              </w:rPr>
              <w:t>年度工作总结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2496" w:hRule="atLeast"/>
          <w:jc w:val="center"/>
        </w:trPr>
        <w:tc>
          <w:tcPr>
            <w:tcW w:w="625" w:type="dxa"/>
            <w:vMerge w:val="continue"/>
            <w:noWrap w:val="0"/>
            <w:vAlign w:val="center"/>
          </w:tcPr>
          <w:p>
            <w:pPr>
              <w:overflowPunct w:val="0"/>
              <w:rPr>
                <w:rFonts w:ascii="方正书宋_GBK" w:eastAsia="方正书宋_GBK"/>
              </w:rPr>
            </w:pPr>
          </w:p>
        </w:tc>
        <w:tc>
          <w:tcPr>
            <w:tcW w:w="728" w:type="dxa"/>
            <w:vMerge w:val="continue"/>
            <w:noWrap w:val="0"/>
            <w:vAlign w:val="center"/>
          </w:tcPr>
          <w:p>
            <w:pPr>
              <w:overflowPunct w:val="0"/>
              <w:rPr>
                <w:rFonts w:ascii="方正书宋_GBK" w:eastAsia="方正书宋_GBK"/>
              </w:rPr>
            </w:pPr>
          </w:p>
        </w:tc>
        <w:tc>
          <w:tcPr>
            <w:tcW w:w="1148" w:type="dxa"/>
            <w:noWrap w:val="0"/>
            <w:vAlign w:val="center"/>
          </w:tcPr>
          <w:p>
            <w:pPr>
              <w:overflowPunct w:val="0"/>
              <w:textAlignment w:val="center"/>
              <w:rPr>
                <w:rFonts w:ascii="方正书宋_GBK" w:eastAsia="方正书宋_GBK"/>
              </w:rPr>
            </w:pPr>
            <w:r>
              <w:rPr>
                <w:rFonts w:ascii="方正书宋_GBK" w:eastAsia="方正书宋_GBK"/>
              </w:rPr>
              <w:t>发布价格信息</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达成年度指标得100%-80%（含）权重分、部分达成年度指标并具有一定效果得80%-60%（含）权重分、未达成年度指标且效果较差三档得60%-0（含）权重分</w:t>
            </w:r>
          </w:p>
        </w:tc>
        <w:tc>
          <w:tcPr>
            <w:tcW w:w="1497" w:type="dxa"/>
            <w:noWrap w:val="0"/>
            <w:vAlign w:val="center"/>
          </w:tcPr>
          <w:p>
            <w:pPr>
              <w:overflowPunct w:val="0"/>
              <w:textAlignment w:val="center"/>
              <w:rPr>
                <w:rFonts w:ascii="方正书宋_GBK" w:eastAsia="方正书宋_GBK"/>
              </w:rPr>
            </w:pPr>
            <w:r>
              <w:rPr>
                <w:rFonts w:ascii="方正书宋_GBK" w:eastAsia="方正书宋_GBK"/>
              </w:rPr>
              <w:t>通过发布价格信息，引导市场生产与消费</w:t>
            </w:r>
          </w:p>
        </w:tc>
        <w:tc>
          <w:tcPr>
            <w:tcW w:w="560" w:type="dxa"/>
            <w:noWrap w:val="0"/>
            <w:vAlign w:val="center"/>
          </w:tcPr>
          <w:p>
            <w:pPr>
              <w:overflowPunct w:val="0"/>
              <w:adjustRightInd w:val="0"/>
              <w:snapToGrid w:val="0"/>
              <w:jc w:val="center"/>
              <w:rPr>
                <w:rFonts w:ascii="方正书宋_GBK" w:eastAsia="方正书宋_GBK"/>
              </w:rPr>
            </w:pPr>
          </w:p>
        </w:tc>
        <w:tc>
          <w:tcPr>
            <w:tcW w:w="672" w:type="dxa"/>
            <w:noWrap w:val="0"/>
            <w:vAlign w:val="center"/>
          </w:tcPr>
          <w:p>
            <w:pPr>
              <w:overflowPunct w:val="0"/>
              <w:adjustRightInd w:val="0"/>
              <w:snapToGrid w:val="0"/>
              <w:jc w:val="center"/>
              <w:rPr>
                <w:rFonts w:ascii="方正书宋_GBK" w:eastAsia="方正书宋_GBK"/>
              </w:rPr>
            </w:pPr>
            <w:r>
              <w:rPr>
                <w:rFonts w:ascii="方正书宋_GBK" w:eastAsia="方正书宋_GBK"/>
              </w:rPr>
              <w:t>保障</w:t>
            </w:r>
          </w:p>
        </w:tc>
        <w:tc>
          <w:tcPr>
            <w:tcW w:w="476" w:type="dxa"/>
            <w:noWrap w:val="0"/>
            <w:vAlign w:val="center"/>
          </w:tcPr>
          <w:p>
            <w:pPr>
              <w:overflowPunct w:val="0"/>
              <w:adjustRightInd w:val="0"/>
              <w:snapToGrid w:val="0"/>
              <w:jc w:val="center"/>
              <w:rPr>
                <w:rFonts w:ascii="方正书宋_GBK" w:eastAsia="方正书宋_GBK"/>
              </w:rPr>
            </w:pPr>
          </w:p>
        </w:tc>
        <w:tc>
          <w:tcPr>
            <w:tcW w:w="1428" w:type="dxa"/>
            <w:noWrap w:val="0"/>
            <w:vAlign w:val="center"/>
          </w:tcPr>
          <w:p>
            <w:pPr>
              <w:overflowPunct w:val="0"/>
              <w:adjustRightInd w:val="0"/>
              <w:snapToGrid w:val="0"/>
              <w:rPr>
                <w:rFonts w:ascii="方正书宋_GBK" w:eastAsia="方正书宋_GBK"/>
              </w:rPr>
            </w:pPr>
            <w:r>
              <w:rPr>
                <w:rFonts w:ascii="方正书宋_GBK" w:eastAsia="方正书宋_GBK"/>
              </w:rPr>
              <w:t>年度工作总结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2524" w:hRule="atLeast"/>
          <w:jc w:val="center"/>
        </w:trPr>
        <w:tc>
          <w:tcPr>
            <w:tcW w:w="625" w:type="dxa"/>
            <w:vMerge w:val="continue"/>
            <w:noWrap w:val="0"/>
            <w:vAlign w:val="center"/>
          </w:tcPr>
          <w:p>
            <w:pPr>
              <w:overflowPunct w:val="0"/>
              <w:rPr>
                <w:rFonts w:ascii="方正书宋_GBK" w:eastAsia="方正书宋_GBK"/>
              </w:rPr>
            </w:pPr>
          </w:p>
        </w:tc>
        <w:tc>
          <w:tcPr>
            <w:tcW w:w="728" w:type="dxa"/>
            <w:noWrap w:val="0"/>
            <w:vAlign w:val="center"/>
          </w:tcPr>
          <w:p>
            <w:pPr>
              <w:overflowPunct w:val="0"/>
              <w:jc w:val="center"/>
              <w:textAlignment w:val="center"/>
              <w:rPr>
                <w:rFonts w:ascii="方正书宋_GBK" w:eastAsia="方正书宋_GBK"/>
              </w:rPr>
            </w:pPr>
            <w:r>
              <w:rPr>
                <w:rFonts w:ascii="方正书宋_GBK" w:eastAsia="方正书宋_GBK"/>
              </w:rPr>
              <w:t>生态</w:t>
            </w:r>
          </w:p>
          <w:p>
            <w:pPr>
              <w:overflowPunct w:val="0"/>
              <w:jc w:val="center"/>
              <w:textAlignment w:val="center"/>
              <w:rPr>
                <w:rFonts w:ascii="方正书宋_GBK" w:eastAsia="方正书宋_GBK"/>
              </w:rPr>
            </w:pPr>
            <w:r>
              <w:rPr>
                <w:rFonts w:ascii="方正书宋_GBK" w:eastAsia="方正书宋_GBK"/>
              </w:rPr>
              <w:t>效益</w:t>
            </w:r>
          </w:p>
        </w:tc>
        <w:tc>
          <w:tcPr>
            <w:tcW w:w="1148" w:type="dxa"/>
            <w:noWrap w:val="0"/>
            <w:vAlign w:val="center"/>
          </w:tcPr>
          <w:p>
            <w:pPr>
              <w:overflowPunct w:val="0"/>
              <w:adjustRightInd w:val="0"/>
              <w:snapToGrid w:val="0"/>
              <w:rPr>
                <w:rFonts w:ascii="方正书宋_GBK" w:eastAsia="方正书宋_GBK"/>
              </w:rPr>
            </w:pPr>
            <w:r>
              <w:rPr>
                <w:rFonts w:ascii="方正书宋_GBK" w:eastAsia="方正书宋_GBK"/>
              </w:rPr>
              <w:t>促进节能降耗、生态建设</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达成年度指标得100%-80%（含）权重分、部分达成年度指标并具有一定效果得80%-60%（含）权重分、未达成年度指标且效果较差三档得60%-0（含）权重分</w:t>
            </w:r>
          </w:p>
        </w:tc>
        <w:tc>
          <w:tcPr>
            <w:tcW w:w="1497" w:type="dxa"/>
            <w:noWrap w:val="0"/>
            <w:vAlign w:val="center"/>
          </w:tcPr>
          <w:p>
            <w:pPr>
              <w:overflowPunct w:val="0"/>
              <w:adjustRightInd w:val="0"/>
              <w:snapToGrid w:val="0"/>
              <w:rPr>
                <w:rFonts w:ascii="方正书宋_GBK" w:eastAsia="方正书宋_GBK"/>
              </w:rPr>
            </w:pPr>
            <w:r>
              <w:rPr>
                <w:rFonts w:ascii="方正书宋_GBK" w:eastAsia="方正书宋_GBK"/>
              </w:rPr>
              <w:t>促进节能降耗、资源综合利用和生态建设</w:t>
            </w:r>
          </w:p>
        </w:tc>
        <w:tc>
          <w:tcPr>
            <w:tcW w:w="560" w:type="dxa"/>
            <w:noWrap w:val="0"/>
            <w:vAlign w:val="center"/>
          </w:tcPr>
          <w:p>
            <w:pPr>
              <w:overflowPunct w:val="0"/>
              <w:adjustRightInd w:val="0"/>
              <w:snapToGrid w:val="0"/>
              <w:jc w:val="center"/>
              <w:rPr>
                <w:rFonts w:ascii="方正书宋_GBK" w:eastAsia="方正书宋_GBK"/>
              </w:rPr>
            </w:pPr>
          </w:p>
        </w:tc>
        <w:tc>
          <w:tcPr>
            <w:tcW w:w="672" w:type="dxa"/>
            <w:noWrap w:val="0"/>
            <w:vAlign w:val="center"/>
          </w:tcPr>
          <w:p>
            <w:pPr>
              <w:overflowPunct w:val="0"/>
              <w:adjustRightInd w:val="0"/>
              <w:snapToGrid w:val="0"/>
              <w:jc w:val="center"/>
              <w:rPr>
                <w:rFonts w:ascii="方正书宋_GBK" w:eastAsia="方正书宋_GBK"/>
              </w:rPr>
            </w:pPr>
            <w:r>
              <w:rPr>
                <w:rFonts w:ascii="方正书宋_GBK" w:eastAsia="方正书宋_GBK"/>
              </w:rPr>
              <w:t>提高</w:t>
            </w:r>
          </w:p>
        </w:tc>
        <w:tc>
          <w:tcPr>
            <w:tcW w:w="476" w:type="dxa"/>
            <w:noWrap w:val="0"/>
            <w:vAlign w:val="center"/>
          </w:tcPr>
          <w:p>
            <w:pPr>
              <w:overflowPunct w:val="0"/>
              <w:adjustRightInd w:val="0"/>
              <w:snapToGrid w:val="0"/>
              <w:jc w:val="center"/>
              <w:rPr>
                <w:rFonts w:ascii="方正书宋_GBK" w:eastAsia="方正书宋_GBK"/>
              </w:rPr>
            </w:pPr>
          </w:p>
        </w:tc>
        <w:tc>
          <w:tcPr>
            <w:tcW w:w="1428" w:type="dxa"/>
            <w:noWrap w:val="0"/>
            <w:vAlign w:val="center"/>
          </w:tcPr>
          <w:p>
            <w:pPr>
              <w:overflowPunct w:val="0"/>
              <w:adjustRightInd w:val="0"/>
              <w:snapToGrid w:val="0"/>
              <w:rPr>
                <w:rFonts w:ascii="方正书宋_GBK" w:eastAsia="方正书宋_GBK"/>
              </w:rPr>
            </w:pPr>
            <w:r>
              <w:rPr>
                <w:rFonts w:ascii="方正书宋_GBK" w:eastAsia="方正书宋_GBK"/>
              </w:rPr>
              <w:t>年终工作总结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 w:type="dxa"/>
            <w:bottom w:w="0" w:type="dxa"/>
            <w:right w:w="11" w:type="dxa"/>
          </w:tblCellMar>
        </w:tblPrEx>
        <w:trPr>
          <w:cantSplit/>
          <w:trHeight w:val="860" w:hRule="atLeast"/>
          <w:jc w:val="center"/>
        </w:trPr>
        <w:tc>
          <w:tcPr>
            <w:tcW w:w="625" w:type="dxa"/>
            <w:vMerge w:val="continue"/>
            <w:noWrap w:val="0"/>
            <w:vAlign w:val="center"/>
          </w:tcPr>
          <w:p>
            <w:pPr>
              <w:overflowPunct w:val="0"/>
              <w:rPr>
                <w:rFonts w:ascii="方正书宋_GBK" w:eastAsia="方正书宋_GBK"/>
              </w:rPr>
            </w:pPr>
          </w:p>
        </w:tc>
        <w:tc>
          <w:tcPr>
            <w:tcW w:w="728" w:type="dxa"/>
            <w:noWrap w:val="0"/>
            <w:vAlign w:val="center"/>
          </w:tcPr>
          <w:p>
            <w:pPr>
              <w:overflowPunct w:val="0"/>
              <w:adjustRightInd w:val="0"/>
              <w:snapToGrid w:val="0"/>
              <w:jc w:val="center"/>
              <w:rPr>
                <w:rFonts w:ascii="方正书宋_GBK" w:eastAsia="方正书宋_GBK"/>
              </w:rPr>
            </w:pPr>
            <w:r>
              <w:rPr>
                <w:rFonts w:ascii="方正书宋_GBK" w:eastAsia="方正书宋_GBK"/>
              </w:rPr>
              <w:t>满意度</w:t>
            </w:r>
          </w:p>
        </w:tc>
        <w:tc>
          <w:tcPr>
            <w:tcW w:w="1148" w:type="dxa"/>
            <w:noWrap w:val="0"/>
            <w:vAlign w:val="center"/>
          </w:tcPr>
          <w:p>
            <w:pPr>
              <w:overflowPunct w:val="0"/>
              <w:adjustRightInd w:val="0"/>
              <w:snapToGrid w:val="0"/>
              <w:rPr>
                <w:rFonts w:ascii="方正书宋_GBK" w:eastAsia="方正书宋_GBK"/>
              </w:rPr>
            </w:pPr>
            <w:r>
              <w:rPr>
                <w:rFonts w:ascii="方正书宋_GBK" w:eastAsia="方正书宋_GBK"/>
              </w:rPr>
              <w:t>受益群体满意度</w:t>
            </w:r>
          </w:p>
        </w:tc>
        <w:tc>
          <w:tcPr>
            <w:tcW w:w="1932" w:type="dxa"/>
            <w:noWrap w:val="0"/>
            <w:vAlign w:val="center"/>
          </w:tcPr>
          <w:p>
            <w:pPr>
              <w:overflowPunct w:val="0"/>
              <w:adjustRightInd w:val="0"/>
              <w:snapToGrid w:val="0"/>
              <w:rPr>
                <w:rFonts w:ascii="方正书宋_GBK" w:eastAsia="方正书宋_GBK"/>
              </w:rPr>
            </w:pPr>
            <w:r>
              <w:rPr>
                <w:rFonts w:ascii="方正书宋_GBK" w:eastAsia="方正书宋_GBK"/>
              </w:rPr>
              <w:t>每降低1%，扣除权重分的10%</w:t>
            </w:r>
          </w:p>
        </w:tc>
        <w:tc>
          <w:tcPr>
            <w:tcW w:w="1497" w:type="dxa"/>
            <w:noWrap w:val="0"/>
            <w:vAlign w:val="center"/>
          </w:tcPr>
          <w:p>
            <w:pPr>
              <w:overflowPunct w:val="0"/>
              <w:adjustRightInd w:val="0"/>
              <w:snapToGrid w:val="0"/>
              <w:rPr>
                <w:rFonts w:ascii="方正书宋_GBK" w:eastAsia="方正书宋_GBK"/>
              </w:rPr>
            </w:pPr>
            <w:r>
              <w:rPr>
                <w:rFonts w:ascii="方正书宋_GBK" w:eastAsia="方正书宋_GBK"/>
              </w:rPr>
              <w:t>相关受益群体满意度</w:t>
            </w:r>
          </w:p>
        </w:tc>
        <w:tc>
          <w:tcPr>
            <w:tcW w:w="560" w:type="dxa"/>
            <w:noWrap w:val="0"/>
            <w:vAlign w:val="center"/>
          </w:tcPr>
          <w:p>
            <w:pPr>
              <w:overflowPunct w:val="0"/>
              <w:adjustRightInd w:val="0"/>
              <w:snapToGrid w:val="0"/>
              <w:jc w:val="center"/>
              <w:rPr>
                <w:rFonts w:ascii="方正书宋_GBK" w:eastAsia="方正书宋_GBK"/>
              </w:rPr>
            </w:pPr>
            <w:r>
              <w:rPr>
                <w:rFonts w:ascii="方正书宋_GBK" w:eastAsia="方正书宋_GBK"/>
              </w:rPr>
              <w:t>≥</w:t>
            </w:r>
          </w:p>
        </w:tc>
        <w:tc>
          <w:tcPr>
            <w:tcW w:w="672" w:type="dxa"/>
            <w:noWrap w:val="0"/>
            <w:vAlign w:val="center"/>
          </w:tcPr>
          <w:p>
            <w:pPr>
              <w:overflowPunct w:val="0"/>
              <w:adjustRightInd w:val="0"/>
              <w:snapToGrid w:val="0"/>
              <w:jc w:val="center"/>
              <w:rPr>
                <w:rFonts w:ascii="方正书宋_GBK" w:eastAsia="方正书宋_GBK"/>
              </w:rPr>
            </w:pPr>
            <w:r>
              <w:rPr>
                <w:rFonts w:ascii="方正书宋_GBK" w:eastAsia="方正书宋_GBK"/>
              </w:rPr>
              <w:t>90</w:t>
            </w:r>
          </w:p>
        </w:tc>
        <w:tc>
          <w:tcPr>
            <w:tcW w:w="476" w:type="dxa"/>
            <w:noWrap w:val="0"/>
            <w:vAlign w:val="center"/>
          </w:tcPr>
          <w:p>
            <w:pPr>
              <w:overflowPunct w:val="0"/>
              <w:adjustRightInd w:val="0"/>
              <w:snapToGrid w:val="0"/>
              <w:jc w:val="center"/>
              <w:rPr>
                <w:rFonts w:ascii="方正书宋_GBK" w:eastAsia="方正书宋_GBK"/>
              </w:rPr>
            </w:pPr>
            <w:r>
              <w:rPr>
                <w:rFonts w:ascii="方正书宋_GBK" w:eastAsia="方正书宋_GBK"/>
              </w:rPr>
              <w:t>%</w:t>
            </w:r>
          </w:p>
        </w:tc>
        <w:tc>
          <w:tcPr>
            <w:tcW w:w="1428" w:type="dxa"/>
            <w:noWrap w:val="0"/>
            <w:vAlign w:val="center"/>
          </w:tcPr>
          <w:p>
            <w:pPr>
              <w:overflowPunct w:val="0"/>
              <w:adjustRightInd w:val="0"/>
              <w:snapToGrid w:val="0"/>
              <w:rPr>
                <w:rFonts w:ascii="方正书宋_GBK" w:eastAsia="方正书宋_GBK"/>
              </w:rPr>
            </w:pPr>
            <w:r>
              <w:rPr>
                <w:rFonts w:ascii="方正书宋_GBK" w:eastAsia="方正书宋_GBK"/>
              </w:rPr>
              <w:t>问卷调查</w:t>
            </w:r>
          </w:p>
        </w:tc>
      </w:tr>
    </w:tbl>
    <w:p>
      <w:pPr>
        <w:spacing w:line="584" w:lineRule="exact"/>
        <w:rPr>
          <w:rFonts w:ascii="仿宋_GB2312" w:eastAsia="仿宋_GB2312" w:cs="Times New Roman"/>
          <w:sz w:val="32"/>
          <w:szCs w:val="32"/>
        </w:rPr>
      </w:pPr>
    </w:p>
    <w:p>
      <w:pPr>
        <w:numPr>
          <w:ilvl w:val="0"/>
          <w:numId w:val="1"/>
        </w:numPr>
        <w:spacing w:line="584" w:lineRule="exact"/>
        <w:ind w:firstLine="640" w:firstLineChars="200"/>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资金绩效目标</w:t>
      </w:r>
    </w:p>
    <w:p>
      <w:pPr>
        <w:ind w:firstLine="640" w:firstLineChars="200"/>
        <w:jc w:val="left"/>
        <w:outlineLvl w:val="3"/>
        <w:rPr>
          <w:rFonts w:ascii="Times New Roman" w:hAnsi="宋体" w:eastAsia="宋体"/>
          <w:b/>
          <w:sz w:val="28"/>
        </w:rPr>
      </w:pPr>
      <w:r>
        <w:rPr>
          <w:rFonts w:hint="eastAsia" w:ascii="Times New Roman" w:hAnsi="Times New Roman" w:eastAsia="黑体" w:cs="Times New Roman"/>
          <w:sz w:val="32"/>
          <w:szCs w:val="32"/>
          <w:lang w:val="en-US" w:eastAsia="zh-CN"/>
        </w:rPr>
        <w:t xml:space="preserve">   </w:t>
      </w:r>
      <w:bookmarkStart w:id="0" w:name="_Toc65052712"/>
      <w:r>
        <w:rPr>
          <w:rFonts w:ascii="方正仿宋_GBK" w:eastAsia="方正仿宋_GBK"/>
          <w:b/>
          <w:sz w:val="28"/>
        </w:rPr>
        <w:t>1.发改委业务经费绩效目标表</w:t>
      </w:r>
      <w:bookmarkEnd w:id="0"/>
      <w:r>
        <w:fldChar w:fldCharType="begin"/>
      </w:r>
      <w:r>
        <w:rPr>
          <w:rFonts w:ascii="方正仿宋_GBK" w:eastAsia="方正仿宋_GBK"/>
          <w:b/>
          <w:sz w:val="28"/>
        </w:rPr>
        <w:instrText xml:space="preserve"> TC 1、发改委业务经费绩效目标表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131000210DR6VSH3T1MWM</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发改委业务经费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39.58</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39.58</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本年度预算金额为39.58万元，主要用于开展本项目主要解决单位各科室业务保障工作，满足业务工作需求，更好的完成我委各项项目工作的顺利完成。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1.开展本项目主要解决单位各科室业务保障工作，更好的完成我委各项项目工作的顺利完成。</w:t>
            </w:r>
          </w:p>
          <w:p>
            <w:pPr>
              <w:spacing w:line="300" w:lineRule="exact"/>
              <w:jc w:val="left"/>
              <w:rPr>
                <w:rFonts w:ascii="方正书宋_GBK" w:eastAsia="方正书宋_GBK"/>
              </w:rPr>
            </w:pPr>
            <w:r>
              <w:rPr>
                <w:rFonts w:ascii="方正书宋_GBK" w:eastAsia="方正书宋_GBK"/>
              </w:rPr>
              <w:t>2.开展本项目主要解决单位各科室业务保障工作，满足业务工作需求，更好的完成我委各项项目工作的顺利完成。</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工作会议</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会议次数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≥1次</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相关会议文件及通知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工作培训</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培训次数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≥1次</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相关培训文件及通知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劳务委托业务</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委托业务次数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≥1个</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相关委托协议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聘请法律顾问</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委托业务次数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≥1个</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相关委托协议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保障业务工作开展</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保障业务工作顺利完成率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相关文件、通知、协议。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按时完成工作进度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相关文件、通知、协议。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成本控制额</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按预算定额支付项目费用</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≤39.58万元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保障工作开展</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保障行政工作的顺利开展</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服务对象对我委开展工作的满意情况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240" w:lineRule="auto"/>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1" w:name="_Toc65052713"/>
      <w:r>
        <w:rPr>
          <w:rFonts w:ascii="方正仿宋_GBK" w:eastAsia="方正仿宋_GBK"/>
          <w:b/>
          <w:sz w:val="28"/>
        </w:rPr>
        <w:t>2.项目管理库和项目检测调度平台维护经费绩效目标表</w:t>
      </w:r>
      <w:bookmarkEnd w:id="1"/>
      <w:r>
        <w:fldChar w:fldCharType="begin"/>
      </w:r>
      <w:r>
        <w:rPr>
          <w:rFonts w:ascii="方正仿宋_GBK" w:eastAsia="方正仿宋_GBK"/>
          <w:b/>
          <w:sz w:val="28"/>
        </w:rPr>
        <w:instrText xml:space="preserve"> TC 2、项目管理库和项目检测调度平台维护经费绩效目标表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1310002132Y1GTGX7P24F</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项目管理库和项目检测调度平台维护经费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40.00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40.00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本年度预算资金为40万元，主要用于确保2021年我市项目管理库和项目检测调度平台正常运行。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1.确保2021年我市项目管理库和项目检测调度平台正常运行</w:t>
            </w:r>
          </w:p>
          <w:p>
            <w:pPr>
              <w:spacing w:line="300" w:lineRule="exact"/>
              <w:jc w:val="left"/>
              <w:rPr>
                <w:rFonts w:ascii="方正书宋_GBK" w:eastAsia="方正书宋_GBK"/>
              </w:rPr>
            </w:pPr>
            <w:r>
              <w:rPr>
                <w:rFonts w:ascii="方正书宋_GBK" w:eastAsia="方正书宋_GBK"/>
              </w:rPr>
              <w:t>2.提高重点项目精准化管理水平，详细掌握项目进展情况和准确梳理项目建设中存在的问题，为各级各部门高效协调解决存在问题，推动项目按计划顺利实施提供保障。</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平台维护项目数量</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考核平台维护项目数量</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≥1000个</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项目库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平台运行稳定率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平台安全稳定运行情况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廊发改[2016]33号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资金拨付及时性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资金拨付及时情况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≤12月</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委托业务费控制额</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委托业务费控制在预算标准范围内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≤40万元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提高重点项目精准化管理水平</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提高重点项目精准化管理水平情况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提高</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实际工作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平台使用人员满意程度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平台使用人员满意度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问卷测评</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2" w:name="_Toc65052714"/>
      <w:r>
        <w:rPr>
          <w:rFonts w:ascii="方正仿宋_GBK" w:eastAsia="方正仿宋_GBK"/>
          <w:b/>
          <w:sz w:val="28"/>
        </w:rPr>
        <w:t>3.2021年度市级食盐储备专项经费绩效目标表</w:t>
      </w:r>
      <w:bookmarkEnd w:id="2"/>
      <w:r>
        <w:fldChar w:fldCharType="begin"/>
      </w:r>
      <w:r>
        <w:rPr>
          <w:rFonts w:ascii="方正仿宋_GBK" w:eastAsia="方正仿宋_GBK"/>
          <w:b/>
          <w:sz w:val="28"/>
        </w:rPr>
        <w:instrText xml:space="preserve"> TC 3、2021年度市级食盐储备专项经费绩效目标表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131000215DLUMI8ZO63YW</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2021年度市级食盐储备专项经费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65.00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65.00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本年度预算资金为65万元，主要用于市级食盐储备计划为3000吨，其中小包装入口食盐2500吨，散装食品加工用盐500吨。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1.市级食盐储备计划为3000吨，其中小包装入口食盐2500吨，散装食品加工用盐500吨。</w:t>
            </w:r>
          </w:p>
          <w:p>
            <w:pPr>
              <w:spacing w:line="300" w:lineRule="exact"/>
              <w:jc w:val="left"/>
              <w:rPr>
                <w:rFonts w:ascii="方正书宋_GBK" w:eastAsia="方正书宋_GBK"/>
              </w:rPr>
            </w:pPr>
            <w:r>
              <w:rPr>
                <w:rFonts w:ascii="方正书宋_GBK" w:eastAsia="方正书宋_GBK"/>
              </w:rPr>
              <w:t>2.市级食盐储备计划为3000吨，其中小包装入口食盐2500吨，散装食品加工用盐500吨。</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市级食盐储备数量真实率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储备物资实际库存数量占市级食盐储备数量的比率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≥3000吨</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按公式计算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市级食盐储备质量完好率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无质量问题储备物资数量占全部储存数量的比率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按公式计算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市级食盐储备盘点次数</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当年储备物资实时盘点的次数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≥12次</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全年实际盘点次数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成本控制在预算定额内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≤65万元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市级食盐储备应急保障率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储备物资实际应急供应量占计划应急供应量的比率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按公式计算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群众对食盐市场满意度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人民群众对食盐市场异常波动的满意程度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3" w:name="_Toc65052715"/>
      <w:r>
        <w:rPr>
          <w:rFonts w:ascii="方正仿宋_GBK" w:eastAsia="方正仿宋_GBK"/>
          <w:b/>
          <w:sz w:val="28"/>
        </w:rPr>
        <w:t>4.廊坊市粮油质量检测中心办公设备购置经费绩效目标表</w:t>
      </w:r>
      <w:bookmarkEnd w:id="3"/>
      <w:r>
        <w:fldChar w:fldCharType="begin"/>
      </w:r>
      <w:r>
        <w:rPr>
          <w:rFonts w:ascii="方正仿宋_GBK" w:eastAsia="方正仿宋_GBK"/>
          <w:b/>
          <w:sz w:val="28"/>
        </w:rPr>
        <w:instrText xml:space="preserve"> TC 4、廊坊市粮油质量检测中心办公设备购置经费绩效目标表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131000215PX1KXNIWTZOG</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廊坊市粮油质量检测中心办公设备购置经费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15.00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15.00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本年预算资金为15万，主要解决我市粮油质检空白的问题，确保我市粮油质检能力水平提升；按时完成上级下达的各项检测任务。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1.解决我市粮油质检空白的问题，确保我市粮油质检能力水平提升；按时完成上级下达的各项检测任务。</w:t>
            </w:r>
          </w:p>
          <w:p>
            <w:pPr>
              <w:spacing w:line="300" w:lineRule="exact"/>
              <w:jc w:val="left"/>
              <w:rPr>
                <w:rFonts w:ascii="方正书宋_GBK" w:eastAsia="方正书宋_GBK"/>
              </w:rPr>
            </w:pPr>
            <w:r>
              <w:rPr>
                <w:rFonts w:ascii="方正书宋_GBK" w:eastAsia="方正书宋_GBK"/>
              </w:rPr>
              <w:t>2.解决我市粮油质检空白的问题，确保我市粮油质检能力水平提升的。</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购置设备数量</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电脑及笔记本电脑</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12台</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单位成立购置设备依据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购置设备数量</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打印机及复印机</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7台</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单位成立购置设备依据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购置设备数量</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办公桌椅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10套</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单位成立购置设备依据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完成购置任务</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更好完成我单位各项工作</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单位成立购置设备验收证明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完成采购及时性</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项目费用支出与年度预算的比率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圆满完成我单位各项工作</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可持续影响指标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完成单位开办所需工作</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圆满完成我单位各项工作</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使用对象满意度指标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单位职工对办公的满意程度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≥85%</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4" w:name="_Toc65052716"/>
      <w:r>
        <w:rPr>
          <w:rFonts w:ascii="方正仿宋_GBK" w:eastAsia="方正仿宋_GBK"/>
          <w:b/>
          <w:sz w:val="28"/>
        </w:rPr>
        <w:t>5.廊坊市重点项目专项资金绩效目标表</w:t>
      </w:r>
      <w:bookmarkEnd w:id="4"/>
      <w:r>
        <w:fldChar w:fldCharType="begin"/>
      </w:r>
      <w:r>
        <w:rPr>
          <w:rFonts w:ascii="方正仿宋_GBK" w:eastAsia="方正仿宋_GBK"/>
          <w:b/>
          <w:sz w:val="28"/>
        </w:rPr>
        <w:instrText xml:space="preserve"> TC 5、廊坊市重点项目专项资金绩效目标表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131000216KVRQLHBZMI41</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廊坊市重点项目专项资金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730.00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730.00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资金总额为730万元，主要用于廊坊市重点项目专项资金预计在2021年年初开始进行全面工作的开展。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1.通过重点项目专项资金的拨付保障，确保全市项目建设平稳较快推进，省市重点项目、投资亿元以上项目按照计划节点顺利实施。</w:t>
            </w:r>
          </w:p>
          <w:p>
            <w:pPr>
              <w:spacing w:line="300" w:lineRule="exact"/>
              <w:jc w:val="left"/>
              <w:rPr>
                <w:rFonts w:ascii="方正书宋_GBK" w:eastAsia="方正书宋_GBK"/>
              </w:rPr>
            </w:pPr>
            <w:r>
              <w:rPr>
                <w:rFonts w:ascii="方正书宋_GBK" w:eastAsia="方正书宋_GBK"/>
              </w:rPr>
              <w:t>2.按照市委、市政府确定的强力实施项目带动战略要求，以高质量的项目建设推动经济实现高质量发展，按照“3+1”主导产业定位，不断加大新一代信息技术、高端装备制造、生物医药健康和临空经济产业为主的战略新兴产业和现代服务业项目谋划建设力度，为全市经济稳较快增长提供强有力支撑。</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下发区县数量</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分别为大厂县、香河县、廊坊开发区、广阳区、安次区、永清县、固安县、文安县、大城县。</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9个</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(廊政[2005]38号)据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下发资金准确率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考核下发到各县的资金</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资金拨付及时性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考核预算资金拨付的及时性</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成本控制有效性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考核项目实施工程中各项支出是否有效的控制在定额标准内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有效</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定额标准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推进政府投资及重大项目建设</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通过重大建设项目的专项规划，对全市重点投资项目的完成起到作用。</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推进</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各区县满意度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9个区县满意度情况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5" w:name="_Toc65052717"/>
      <w:r>
        <w:rPr>
          <w:rFonts w:ascii="方正仿宋_GBK" w:eastAsia="方正仿宋_GBK"/>
          <w:b/>
          <w:sz w:val="28"/>
        </w:rPr>
        <w:t>6.购买电代煤第三方技术服务经费绩效目标表</w:t>
      </w:r>
      <w:bookmarkEnd w:id="5"/>
      <w:r>
        <w:fldChar w:fldCharType="begin"/>
      </w:r>
      <w:r>
        <w:rPr>
          <w:rFonts w:ascii="方正仿宋_GBK" w:eastAsia="方正仿宋_GBK"/>
          <w:b/>
          <w:sz w:val="28"/>
        </w:rPr>
        <w:instrText xml:space="preserve"> TC 6、购买电代煤第三方技术服务经费绩效目标表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1310002180Z3YRUP7YOXC</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购买电代煤第三方技术服务经费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本年度预算资金为30万元，主要用于通过项目的开展减少电代煤地区用电取暖安全事故，保障群众安全、温暖过冬。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50.00%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1.通过项目的开展减少电代煤地区用电取暖安全事故，保障群众安全、温暖过冬。</w:t>
            </w:r>
          </w:p>
          <w:p>
            <w:pPr>
              <w:spacing w:line="300" w:lineRule="exact"/>
              <w:jc w:val="left"/>
              <w:rPr>
                <w:rFonts w:ascii="方正书宋_GBK" w:eastAsia="方正书宋_GBK"/>
              </w:rPr>
            </w:pPr>
            <w:r>
              <w:rPr>
                <w:rFonts w:ascii="方正书宋_GBK" w:eastAsia="方正书宋_GBK"/>
              </w:rPr>
              <w:t>2.通过项目的开展完成对全市电代煤工程安全质量检查，实现电代煤用户温暖过冬。</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电代煤安全检查报告</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电代煤安全检查报告</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≥1份</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电代煤安全检查报告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工作完成质量达标率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完成报告质量</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电代煤安全检查报告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及时完成工作进度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采暖季</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成本控制额</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成本控制金额</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保障群众安全</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通过项目的开展减少电代煤地区用电取暖安全事故，保障群众安全、温暖过冬。</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安全</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电代煤安全检查报告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安全检查情况满意度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通过项目的开展完成对全市电代煤工程安全质量检查情况的满意度调查，每个电代煤县抽取10户进行满意度调查。</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6" w:name="_Toc65052718"/>
      <w:r>
        <w:rPr>
          <w:rFonts w:ascii="方正仿宋_GBK" w:eastAsia="方正仿宋_GBK"/>
          <w:b/>
          <w:sz w:val="28"/>
        </w:rPr>
        <w:t>7.付日贷本息资金绩效目标表</w:t>
      </w:r>
      <w:bookmarkEnd w:id="6"/>
      <w:r>
        <w:fldChar w:fldCharType="begin"/>
      </w:r>
      <w:r>
        <w:rPr>
          <w:rFonts w:ascii="方正仿宋_GBK" w:eastAsia="方正仿宋_GBK"/>
          <w:b/>
          <w:sz w:val="28"/>
        </w:rPr>
        <w:instrText xml:space="preserve"> TC 7、付日贷本息资金绩效目标表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1310002185FUAVGAW1RG0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付日贷本息资金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24.54</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24.54</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本年度资金总额为24.54万元，主要按照还款通知及时偿日贷本息债务，保障不出现债务纠纷问题。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1.按照还款通知及时偿日贷本息债务，保障不出现债务纠纷问题。</w:t>
            </w:r>
          </w:p>
          <w:p>
            <w:pPr>
              <w:spacing w:line="300" w:lineRule="exact"/>
              <w:jc w:val="left"/>
              <w:rPr>
                <w:rFonts w:ascii="方正书宋_GBK" w:eastAsia="方正书宋_GBK"/>
              </w:rPr>
            </w:pPr>
            <w:r>
              <w:rPr>
                <w:rFonts w:ascii="方正书宋_GBK" w:eastAsia="方正书宋_GBK"/>
              </w:rPr>
              <w:t>2.及时偿日贷本息债务，保障不出现债务纠纷问题。</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日贷还本付息表</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河北省经济信息中心下发的还款通知和各项目单位日元贷款分年度还本付息表</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≥1次</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2020年还款通知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偿还债务金额准确度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偿还债务金额准确度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2020年还款通知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还款及时性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偿还贷款的及时性</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还款日期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控制还款额</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控制日贷还款金额</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24.54万元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债务纠纷和不良影响事件发生情况</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及时还款保障不出现债务纠纷问题，不造成社会不良影响。</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0次</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2020年还款通知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可持续影响指标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根据规定付款</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保障不出现债务纠纷问题</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银行付款单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单位满意度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还款情况的满意度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单位评测情况表</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7" w:name="_Toc65052719"/>
      <w:r>
        <w:rPr>
          <w:rFonts w:ascii="方正仿宋_GBK" w:eastAsia="方正仿宋_GBK"/>
          <w:b/>
          <w:sz w:val="28"/>
        </w:rPr>
        <w:t>8.廊坊市政府门户网运行维护经费绩效目标表</w:t>
      </w:r>
      <w:bookmarkEnd w:id="7"/>
      <w:r>
        <w:fldChar w:fldCharType="begin"/>
      </w:r>
      <w:r>
        <w:rPr>
          <w:rFonts w:ascii="方正仿宋_GBK" w:eastAsia="方正仿宋_GBK"/>
          <w:b/>
          <w:sz w:val="28"/>
        </w:rPr>
        <w:instrText xml:space="preserve"> TC 8、廊坊市政府门户网运行维护经费绩效目标表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13100021CZY52UIS2SQGG</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廊坊市政府门户网运行维护经费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130.00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130.00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本年度资金总额为130万元，主要用于保障中国廊坊政府门户网安全、稳定、有效运行，信息维护准确及时。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w:t>
            </w: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1.保障中国廊坊政府门户网信息维护准确及时。</w:t>
            </w:r>
          </w:p>
          <w:p>
            <w:pPr>
              <w:spacing w:line="300" w:lineRule="exact"/>
              <w:jc w:val="left"/>
              <w:rPr>
                <w:rFonts w:ascii="方正书宋_GBK" w:eastAsia="方正书宋_GBK"/>
              </w:rPr>
            </w:pPr>
            <w:r>
              <w:rPr>
                <w:rFonts w:ascii="方正书宋_GBK" w:eastAsia="方正书宋_GBK"/>
              </w:rPr>
              <w:t>2.保障中国廊坊政府门户网安全、稳定、有效运行，信息维护准确及时。</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廊坊市政府门户网站</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廊坊市政府门户网站运行</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1个</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依据合同、协议与财政支出凭证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年度网络断网和系统平台宕机时间</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网络、网站安全、稳定、有效运行情况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&lt;12小时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项目管理办法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政务信息发布及时性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确保《廊坊日报》刊发重要政务信息当日上午在网站转载</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p>
            <w:pPr>
              <w:spacing w:line="300" w:lineRule="exact"/>
              <w:jc w:val="left"/>
              <w:rPr>
                <w:rFonts w:ascii="方正书宋_GBK" w:eastAsia="方正书宋_GBK"/>
              </w:rPr>
            </w:pP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按照市委宣传部要求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应急小组人员到达现场时间</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网络、网站突发事件处理及时度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&lt;30分钟</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项目管理办法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成本控制额</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成本费用支出控制在年度预算范围内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≤130万元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财政支出凭证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公众访问廊坊市政府门户网站情况</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年度访问量</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≥250000次</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历史数据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公众满意度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公众对廊坊市政府门户网站的满意度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问卷调查</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8" w:name="_Toc65052720"/>
      <w:r>
        <w:rPr>
          <w:rFonts w:ascii="方正仿宋_GBK" w:eastAsia="方正仿宋_GBK"/>
          <w:b/>
          <w:sz w:val="28"/>
        </w:rPr>
        <w:t>9.发改委运行经费绩效目标表</w:t>
      </w:r>
      <w:bookmarkEnd w:id="8"/>
      <w:r>
        <w:fldChar w:fldCharType="begin"/>
      </w:r>
      <w:r>
        <w:rPr>
          <w:rFonts w:ascii="方正仿宋_GBK" w:eastAsia="方正仿宋_GBK"/>
          <w:b/>
          <w:sz w:val="28"/>
        </w:rPr>
        <w:instrText xml:space="preserve"> TC 9、发改委运行经费绩效目标表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13100021FPGN6GHEZSOHM</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发改委运行经费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481.79</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481.79</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本年度预算金额为481.79万元，主要用于开展本项目主要服务单位后勤保障工作，满足办公需求，更好的完成我委各项工作。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1.开展本项目主要服务单位后勤保障工作，满足办公需求，更好的完成我委各项工作。</w:t>
            </w:r>
          </w:p>
          <w:p>
            <w:pPr>
              <w:spacing w:line="300" w:lineRule="exact"/>
              <w:jc w:val="left"/>
              <w:rPr>
                <w:rFonts w:ascii="方正书宋_GBK" w:eastAsia="方正书宋_GBK"/>
              </w:rPr>
            </w:pPr>
            <w:r>
              <w:rPr>
                <w:rFonts w:ascii="方正书宋_GBK" w:eastAsia="方正书宋_GBK"/>
              </w:rPr>
              <w:t>2.开展本项目主要服务单位2021年后勤保障工作，满足当年度办公需求，更好的完成我委各项工作。</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物业费支出</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根据合同支付物业费支付比例</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物业合同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印刷费支出</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按照工作要求印刷材料</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≥1次</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质量标准化</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提高工作质量标准化</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提高</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工作质量标准化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资金拨付及时性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按照工作情况及时拨付资金</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成本控制额</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物业管理费严格控制在预算定额内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≤230万元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工作效率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提升工作效率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提升</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服务对象对我委开展工作的满意情况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9" w:name="_Toc65052721"/>
      <w:r>
        <w:rPr>
          <w:rFonts w:ascii="方正仿宋_GBK" w:eastAsia="方正仿宋_GBK"/>
          <w:b/>
          <w:sz w:val="28"/>
        </w:rPr>
        <w:t>10.廊坊市委、市政府优化营商环境工作专班经费绩效目标表</w:t>
      </w:r>
      <w:bookmarkEnd w:id="9"/>
      <w:r>
        <w:fldChar w:fldCharType="begin"/>
      </w:r>
      <w:r>
        <w:rPr>
          <w:rFonts w:ascii="方正仿宋_GBK" w:eastAsia="方正仿宋_GBK"/>
          <w:b/>
          <w:sz w:val="28"/>
        </w:rPr>
        <w:instrText xml:space="preserve"> TC 10、廊坊市委、市政府优化营商环境工作专班经费绩效目标表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13100021GMWMZH4AN35AX</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廊坊市委、市政府优化营商环境工作专班经费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本年度资金总额为100万元，主要用于开展我市优化营商环境工作。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15.00%</w:t>
            </w: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30.00%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1.通过项目的开展实现持续深入优化我市营商环境，营造公平、透明、可预期的营商环境，激发市场活力和社会创造力，切实为市场主体、社会民众提供优质高效服务。</w:t>
            </w:r>
          </w:p>
          <w:p>
            <w:pPr>
              <w:spacing w:line="300" w:lineRule="exact"/>
              <w:jc w:val="left"/>
              <w:rPr>
                <w:rFonts w:ascii="方正书宋_GBK" w:eastAsia="方正书宋_GBK"/>
              </w:rPr>
            </w:pPr>
            <w:r>
              <w:rPr>
                <w:rFonts w:ascii="方正书宋_GBK" w:eastAsia="方正书宋_GBK"/>
              </w:rPr>
              <w:t>2.通过项目的开展贯彻落实国家、省、市优化营商环境工作的决策部署，聚焦企业和民众办事的痛点、难点、堵点问题，出狠招、实招，对标国内先进城市，深入查摆问题，并出台具体措施和相应工作方案。</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优化营商环境培训会</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优化营商环境培训会参会人数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≥60人</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营商环境评价完成率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反映聘请第三方机构进行营商环境评价情况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会议参会人员覆盖率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反映优化营商环境指标工作会议通知参会单位覆盖情况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按项目计划及时进行</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成本控制额</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成本控制额在预算范围内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培训人员工作能力提升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通过培训，提升参与人员的工作能力</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提升</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提高优质高效服务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参会人员满意度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反映参会人员的满意情况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问卷调查</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10" w:name="_Toc65052722"/>
      <w:r>
        <w:rPr>
          <w:rFonts w:ascii="方正仿宋_GBK" w:eastAsia="方正仿宋_GBK"/>
          <w:b/>
          <w:sz w:val="28"/>
        </w:rPr>
        <w:t>11.廊坊市推进全面创新改革试验工作专项经费绩效目标表</w:t>
      </w:r>
      <w:bookmarkEnd w:id="10"/>
      <w:r>
        <w:fldChar w:fldCharType="begin"/>
      </w:r>
      <w:r>
        <w:rPr>
          <w:rFonts w:ascii="方正仿宋_GBK" w:eastAsia="方正仿宋_GBK"/>
          <w:b/>
          <w:sz w:val="28"/>
        </w:rPr>
        <w:instrText xml:space="preserve"> TC 11、廊坊市推进全面创新改革试验工作专项经费绩效目标表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13100021KX2MDSEL25SY5</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廊坊市推进全面创新改革试验工作专项经费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15.00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15.00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本年预算资金为15万元，主要用于我市全面创新改革试验工作积极稳妥推进，全年工作任务顺利完成。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20.00%</w:t>
            </w: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40.00%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市全创改办在市推进全面创新改革试验工作领导小组的领导下开展工作，负责全市全面创新改革试验日常工作，督导各地、市直各相关部门落实国家、省、市的各项相关工作部署；研究制定廊坊全面创新改革试验具体举措和市级有关政策、制度文件；制定具体工作计划，协调推进各项改革任务的具体落实和改革举措落地实施；及时报告廊坊全面创新改革试验工作存在的困难和问题。</w:t>
            </w:r>
          </w:p>
          <w:p>
            <w:pPr>
              <w:spacing w:line="300" w:lineRule="exact"/>
              <w:jc w:val="left"/>
              <w:rPr>
                <w:rFonts w:ascii="方正书宋_GBK" w:eastAsia="方正书宋_GBK"/>
              </w:rPr>
            </w:pPr>
            <w:r>
              <w:rPr>
                <w:rFonts w:ascii="方正书宋_GBK" w:eastAsia="方正书宋_GBK"/>
              </w:rPr>
              <w:t>2.有效加强我市全面创新改革试验工作，进一步破除阻碍科技创新发展的体制机制障碍，推动我市全面创新改革试验工作积极稳妥进行，全年工作任务顺利完成。</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组织召开或参加石保廊会议次数</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考核组织召开或参加石保廊会议次数完成情况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12次</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会议方案、会议通知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考察调研项目完成率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考核考察调研项目完成情况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考察调研方案、通知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文件出台时间及时性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文件出台时间及时性</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相关文件，会议报告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办公费成本控制</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办公费成本控制额</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≤4万元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推动我市全面创新改革试验工作积</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有效加强我市全面创新改革试验工作</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加强</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参会人员满意度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参会人员对会议满意度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11" w:name="_Toc65052723"/>
      <w:r>
        <w:rPr>
          <w:rFonts w:ascii="方正仿宋_GBK" w:eastAsia="方正仿宋_GBK"/>
          <w:b/>
          <w:sz w:val="28"/>
        </w:rPr>
        <w:t>12.廊坊市物资储备库维修及救灾物资仓库电气火灾消防设施系统隐患改造项目资金绩效目标表</w:t>
      </w:r>
      <w:bookmarkEnd w:id="11"/>
      <w:r>
        <w:fldChar w:fldCharType="begin"/>
      </w:r>
      <w:r>
        <w:rPr>
          <w:rFonts w:ascii="方正仿宋_GBK" w:eastAsia="方正仿宋_GBK"/>
          <w:b/>
          <w:sz w:val="28"/>
        </w:rPr>
        <w:instrText xml:space="preserve"> TC 12、廊坊市物资储备库维修及救灾物资仓库电气火灾消防设施系统隐患改造项目资金绩效目标表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13100021L7TZ3LGIASQIY</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廊坊市物资储备库维修及救灾物资仓库电气火灾消防设施系统隐患改造项目资金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49.85</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49.85</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本年度预算金额为49.85万元，主要通过项目的开展实现仓库消防设施正常运行提高消防管理水平，确保仓库内物资、周围建筑和人员的安全。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1.通过项目的开展实现仓库消防设施正常运行提高消防管理水平，确保仓库内物资、周围建筑和人员的安全。</w:t>
            </w:r>
          </w:p>
          <w:p>
            <w:pPr>
              <w:spacing w:line="300" w:lineRule="exact"/>
              <w:jc w:val="left"/>
              <w:rPr>
                <w:rFonts w:ascii="方正书宋_GBK" w:eastAsia="方正书宋_GBK"/>
              </w:rPr>
            </w:pPr>
            <w:r>
              <w:rPr>
                <w:rFonts w:ascii="方正书宋_GBK" w:eastAsia="方正书宋_GBK"/>
              </w:rPr>
              <w:t>2.通过项目的开展实现仓库消防设施正常运行提高消防管理水平，确保仓库内物资、周围建筑和人员的安全。</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招标合同</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根据工作需求进行招标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1个</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项目合同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下发资金准确率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财政资金下发是否有明确的文件依据</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文件依据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工作完成的及时性</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完工时间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改造项目成本控制金额</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改造项目严格按照预算成本支出</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≤49.85万元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改造消防系统，排除安全隐患</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对消防设施、配电箱等进行维修改造。</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改造</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验收部门满意度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验收部门满意度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12" w:name="_Toc65052724"/>
      <w:r>
        <w:rPr>
          <w:rFonts w:ascii="方正仿宋_GBK" w:eastAsia="方正仿宋_GBK"/>
          <w:b/>
          <w:sz w:val="28"/>
        </w:rPr>
        <w:t>13.电力设施安全监管经费绩效目标表</w:t>
      </w:r>
      <w:bookmarkEnd w:id="12"/>
      <w:r>
        <w:fldChar w:fldCharType="begin"/>
      </w:r>
      <w:r>
        <w:rPr>
          <w:rFonts w:ascii="方正仿宋_GBK" w:eastAsia="方正仿宋_GBK"/>
          <w:b/>
          <w:sz w:val="28"/>
        </w:rPr>
        <w:instrText xml:space="preserve"> TC 13、电力设施安全监管经费绩效目标表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13100021LEWE07FF9OXIP</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电力设施安全监管经费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34.00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34.00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本年度资金为34万元，主要用于通过项目的开展实现对电力行业企业保护电力设施，保障电力设施安全运行工作的监管，保障全市电力设施安全平稳运行的实现。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66.00%</w:t>
            </w: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66.00%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66.00%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1.通过项目的开展实现对电力行业企业保护电力设施，保障电力设施安全运行工作的监管，提高全社会遵守《电力法》、《电力条例》及保护电力设施、安全用电的意识，保障全市电力设施安全平稳运行的实现。</w:t>
            </w:r>
          </w:p>
          <w:p>
            <w:pPr>
              <w:spacing w:line="300" w:lineRule="exact"/>
              <w:jc w:val="left"/>
              <w:rPr>
                <w:rFonts w:ascii="方正书宋_GBK" w:eastAsia="方正书宋_GBK"/>
              </w:rPr>
            </w:pPr>
            <w:r>
              <w:rPr>
                <w:rFonts w:ascii="方正书宋_GBK" w:eastAsia="方正书宋_GBK"/>
              </w:rPr>
              <w:t>2.通过项目的开展实现对电力行业企业保护电力设施，保障电力设施安全运行工作的监管，保障全市电力设施安全平稳运行的实现。</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检查单位比例</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抽查全市电力设施单位比例</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全市电力设施单位比例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宣传品数量</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印制宣传品套数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≥6500套</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宣传品采购清单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电力设施安全检查报告</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报告是否验收通过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是否通过</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相关安全运行标准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全年电力设施安全运行</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年底前完成检查工作</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是否通过</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电力设施安全检查报告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成本控制额</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聘请第三方服务费</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≤29万元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安全隐患整改率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安全隐患整改率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≥80%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电力设施安全检查报告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对出具报告的满意度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13" w:name="_Toc65052725"/>
      <w:r>
        <w:rPr>
          <w:rFonts w:ascii="方正仿宋_GBK" w:eastAsia="方正仿宋_GBK"/>
          <w:b/>
          <w:sz w:val="28"/>
        </w:rPr>
        <w:t>14.气源保障工作专班活动经费绩效目标表</w:t>
      </w:r>
      <w:bookmarkEnd w:id="13"/>
      <w:r>
        <w:fldChar w:fldCharType="begin"/>
      </w:r>
      <w:r>
        <w:rPr>
          <w:rFonts w:ascii="方正仿宋_GBK" w:eastAsia="方正仿宋_GBK"/>
          <w:b/>
          <w:sz w:val="28"/>
        </w:rPr>
        <w:instrText xml:space="preserve"> TC 14、气源保障工作专班活动经费绩效目标表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13100021LLL5MN2PT9RIW</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气源保障工作专班活动经费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6.00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6.00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资金总额为6万元，主要用于开展保障采暖季全市天然气安全稳定供应工作。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30.00%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1.通过项目的开展保障采暖季全市天然气安全稳定供应。</w:t>
            </w:r>
          </w:p>
          <w:p>
            <w:pPr>
              <w:spacing w:line="300" w:lineRule="exact"/>
              <w:jc w:val="left"/>
              <w:rPr>
                <w:rFonts w:ascii="方正书宋_GBK" w:eastAsia="方正书宋_GBK"/>
              </w:rPr>
            </w:pPr>
            <w:r>
              <w:rPr>
                <w:rFonts w:ascii="方正书宋_GBK" w:eastAsia="方正书宋_GBK"/>
              </w:rPr>
              <w:t>2.通过项目的开展实现全市民生用气安全稳定供应。</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赴各县（市、区）检查天然气供应</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检查次数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≥20次</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租用房间</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租用房间</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≥13间</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租用会议室</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租用会议室</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1间</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办公费用对项目工作的保障性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反映办公费用、印刷费用对工作的保障情况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资金拨付的及时性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资金拨付计划及时进行</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是否</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成本控制额</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成本控制额是否在年度预算范围内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≤6万元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保障全市天然气稳定</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保障全市天然气稳定供应</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市民满意度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通过项目的开展保障采暖季全市天然气安全稳定供应</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14" w:name="_Toc65052726"/>
      <w:r>
        <w:rPr>
          <w:rFonts w:ascii="方正仿宋_GBK" w:eastAsia="方正仿宋_GBK"/>
          <w:b/>
          <w:sz w:val="28"/>
        </w:rPr>
        <w:t>15.93分流人员补助经费绩效目标表</w:t>
      </w:r>
      <w:bookmarkEnd w:id="14"/>
      <w:r>
        <w:fldChar w:fldCharType="begin"/>
      </w:r>
      <w:r>
        <w:rPr>
          <w:rFonts w:ascii="方正仿宋_GBK" w:eastAsia="方正仿宋_GBK"/>
          <w:b/>
          <w:sz w:val="28"/>
        </w:rPr>
        <w:instrText xml:space="preserve"> TC 15、93分流人员补助经费绩效目标表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13100021PC23P0A7P9KCL</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93分流人员补助经费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143.76</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143.76</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本年度预算金额为143.76万元，主要用于按时发放“93分流人员”统筹外发放资金。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1.按时发放“93分流人员”统筹外发放资金。</w:t>
            </w:r>
          </w:p>
          <w:p>
            <w:pPr>
              <w:spacing w:line="300" w:lineRule="exact"/>
              <w:jc w:val="left"/>
              <w:rPr>
                <w:rFonts w:ascii="方正书宋_GBK" w:eastAsia="方正书宋_GBK"/>
              </w:rPr>
            </w:pPr>
            <w:r>
              <w:rPr>
                <w:rFonts w:ascii="方正书宋_GBK" w:eastAsia="方正书宋_GBK"/>
              </w:rPr>
              <w:t>2.本年度按时发放“93分流人员”统筹外发放资金。</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统筹外发放人数</w:t>
            </w:r>
          </w:p>
        </w:tc>
        <w:tc>
          <w:tcPr>
            <w:tcW w:w="2891" w:type="dxa"/>
            <w:shd w:val="clear" w:color="auto" w:fill="auto"/>
            <w:noWrap w:val="0"/>
            <w:vAlign w:val="center"/>
          </w:tcPr>
          <w:p>
            <w:pPr>
              <w:spacing w:line="300" w:lineRule="exact"/>
              <w:jc w:val="left"/>
              <w:rPr>
                <w:rFonts w:ascii="方正书宋_GBK" w:eastAsia="方正书宋_GBK"/>
              </w:rPr>
            </w:pPr>
            <w:r>
              <w:rPr>
                <w:rFonts w:hint="cs" w:ascii="方正书宋_GBK" w:eastAsia="方正书宋_GBK"/>
              </w:rPr>
              <w:t>“</w:t>
            </w:r>
            <w:r>
              <w:rPr>
                <w:rFonts w:ascii="方正书宋_GBK" w:eastAsia="方正书宋_GBK"/>
              </w:rPr>
              <w:t>93分流人员”统筹外发放情况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34人</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工资发放表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统筹外发放合格情况</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符合“93分流人员”统筹外发放合格率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工资的准确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资金发放时间</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资金实际发放时间</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按月发放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成本有效性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考核项目实施工程中各项支出是否符有效的控制在定额标准内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定额标准</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定额标准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薪酬发放问题解决情况</w:t>
            </w:r>
          </w:p>
        </w:tc>
        <w:tc>
          <w:tcPr>
            <w:tcW w:w="2891" w:type="dxa"/>
            <w:shd w:val="clear" w:color="auto" w:fill="auto"/>
            <w:noWrap w:val="0"/>
            <w:vAlign w:val="center"/>
          </w:tcPr>
          <w:p>
            <w:pPr>
              <w:spacing w:line="300" w:lineRule="exact"/>
              <w:jc w:val="left"/>
              <w:rPr>
                <w:rFonts w:ascii="方正书宋_GBK" w:eastAsia="方正书宋_GBK"/>
              </w:rPr>
            </w:pPr>
            <w:r>
              <w:rPr>
                <w:rFonts w:hint="cs" w:ascii="方正书宋_GBK" w:eastAsia="方正书宋_GBK"/>
              </w:rPr>
              <w:t>“</w:t>
            </w:r>
            <w:r>
              <w:rPr>
                <w:rFonts w:ascii="方正书宋_GBK" w:eastAsia="方正书宋_GBK"/>
              </w:rPr>
              <w:t>93分流人员”发放解决率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工资的正常发放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hint="cs" w:ascii="方正书宋_GBK" w:eastAsia="方正书宋_GBK"/>
              </w:rPr>
              <w:t>“</w:t>
            </w:r>
            <w:r>
              <w:rPr>
                <w:rFonts w:ascii="方正书宋_GBK" w:eastAsia="方正书宋_GBK"/>
              </w:rPr>
              <w:t>93分流人员”统筹人员满意度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考察“93分流人员”统筹人员满意度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15" w:name="_Toc65052727"/>
      <w:r>
        <w:rPr>
          <w:rFonts w:ascii="方正仿宋_GBK" w:eastAsia="方正仿宋_GBK"/>
          <w:b/>
          <w:sz w:val="28"/>
        </w:rPr>
        <w:t>16.2021年度京津冀协同发展工作经费绩效目标表</w:t>
      </w:r>
      <w:bookmarkEnd w:id="15"/>
      <w:r>
        <w:fldChar w:fldCharType="begin"/>
      </w:r>
      <w:r>
        <w:rPr>
          <w:rFonts w:ascii="方正仿宋_GBK" w:eastAsia="方正仿宋_GBK"/>
          <w:b/>
          <w:sz w:val="28"/>
        </w:rPr>
        <w:instrText xml:space="preserve"> TC 16、2021年度京津冀协同发展工作经费绩效目标表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13100021QT07P9GGEOQY2</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2021年度京津冀协同发展工作经费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预算资金为20万元，主要用于2021年我市在推进京津冀协同发展重大课题上的研究，深化与京津合作，落实省、市推进京津冀协同发展有关决策的部署，进一步服务支持我市在推进京津冀协同发展的重大决策，强化对接与通州区、武清区的项目合作，督导落实省、市部门决策，对落实情况调度、跟踪，并研提相关政策建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64.00%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96.00%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1.2020年工作经费，主要用于2021年我市在推进京津冀协同发展重大课题上的研究，深化与京津合作，落实省、市推进京津冀协同发展有关决策的部署，进一步服务支持我市在推进京津冀协同发展的重大决策，强化对接与通州区、武清区的项目合作，督导落实省、市部门决策，对落实情况调度、跟踪，并研提相关政策建议。</w:t>
            </w:r>
          </w:p>
          <w:p>
            <w:pPr>
              <w:spacing w:line="300" w:lineRule="exact"/>
              <w:jc w:val="left"/>
              <w:rPr>
                <w:rFonts w:ascii="方正书宋_GBK" w:eastAsia="方正书宋_GBK"/>
              </w:rPr>
            </w:pPr>
            <w:r>
              <w:rPr>
                <w:rFonts w:ascii="方正书宋_GBK" w:eastAsia="方正书宋_GBK"/>
              </w:rPr>
              <w:t>2.进一步加强我市推进京津冀协同发展工作，破解我市对接京津过程中的困难和问题，确保全年工作任务顺利完成。</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组织对接京津活动</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考核组织召开或参加会议次数完成情况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1次</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会议方案、会议通知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相关文件出台时间及答复时间等</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相关文件出台，京津合作项目情况，及时解决具体工作中的问题</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考察调研方案、通知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文件出台时间及时性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文件出台时间及时性</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相关文件，会议报告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课题研究费成本</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课题研究成本控制情况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≤5万元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推进京津冀协同发展的重大决策</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推进京津冀协同发展有关决策部署</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推进</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对决策部署的满意度</w:t>
            </w:r>
            <w:r>
              <w:rPr>
                <w:rFonts w:ascii="方正书宋_GBK" w:eastAsia="方正书宋_GBK"/>
              </w:rPr>
              <w:tab/>
            </w:r>
          </w:p>
          <w:p>
            <w:pPr>
              <w:spacing w:line="300" w:lineRule="exact"/>
              <w:jc w:val="left"/>
              <w:rPr>
                <w:rFonts w:ascii="方正书宋_GBK" w:eastAsia="方正书宋_GBK"/>
              </w:rPr>
            </w:pP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对有关决策部署的满意度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16" w:name="_Toc65052728"/>
      <w:r>
        <w:rPr>
          <w:rFonts w:ascii="方正仿宋_GBK" w:eastAsia="方正仿宋_GBK"/>
          <w:b/>
          <w:sz w:val="28"/>
        </w:rPr>
        <w:t>17.廊坊市集中隔离医学观察点疫情防控经费绩效目标表</w:t>
      </w:r>
      <w:bookmarkEnd w:id="16"/>
      <w:r>
        <w:fldChar w:fldCharType="begin"/>
      </w:r>
      <w:r>
        <w:rPr>
          <w:rFonts w:ascii="方正仿宋_GBK" w:eastAsia="方正仿宋_GBK"/>
          <w:b/>
          <w:sz w:val="28"/>
        </w:rPr>
        <w:instrText xml:space="preserve"> TC 17、廊坊市集中隔离医学观察点疫情防控经费绩效目标表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13100021R2BO1BXGD5PVK</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廊坊市集中隔离医学观察点疫情防控经费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330.00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330.00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预算金额为330万元，主要用于我市秋冬疫情防控工作确保我市集中隔离医学观察点正常运行。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1.为积极应对新冠肺炎疫情，为做好我市秋冬疫情防控工作确保我市集中隔离医学观察点正常运行。</w:t>
            </w:r>
          </w:p>
          <w:p>
            <w:pPr>
              <w:spacing w:line="300" w:lineRule="exact"/>
              <w:jc w:val="left"/>
              <w:rPr>
                <w:rFonts w:ascii="方正书宋_GBK" w:eastAsia="方正书宋_GBK"/>
              </w:rPr>
            </w:pPr>
            <w:r>
              <w:rPr>
                <w:rFonts w:ascii="方正书宋_GBK" w:eastAsia="方正书宋_GBK"/>
              </w:rPr>
              <w:t>2.为做好我市秋冬疫情防控工作确保我市集中隔离医学观察点正常运行。</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隔离观察点数量</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隔离观察点数量</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≥1个</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拨付申请资料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下发资金准确率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下发资金准确率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资金拨付及时性</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成本有效性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考核项目实施过程中项目支出是否有效的控制在定额标准内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有效</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定额标准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保障观察点疫情防控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保障隔离医学观察点疫情防控</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隔离观测点满意度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隔离医学观察点对资金拨付及时的满意度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17" w:name="_Toc65052729"/>
      <w:r>
        <w:rPr>
          <w:rFonts w:ascii="方正仿宋_GBK" w:eastAsia="方正仿宋_GBK"/>
          <w:b/>
          <w:sz w:val="28"/>
        </w:rPr>
        <w:t>18.“双创双服”领导小组办公室工作经费绩效目标表</w:t>
      </w:r>
      <w:bookmarkEnd w:id="17"/>
      <w:r>
        <w:fldChar w:fldCharType="begin"/>
      </w:r>
      <w:r>
        <w:rPr>
          <w:rFonts w:ascii="方正仿宋_GBK" w:eastAsia="方正仿宋_GBK"/>
          <w:b/>
          <w:sz w:val="28"/>
        </w:rPr>
        <w:instrText xml:space="preserve"> TC 18、\“双创双服\”领导小组办公室工作经费绩效目标表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13100021RG1FBQ5UQLA6S</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hint="cs" w:ascii="方正书宋_GBK" w:eastAsia="方正书宋_GBK"/>
              </w:rPr>
              <w:t>“</w:t>
            </w:r>
            <w:r>
              <w:rPr>
                <w:rFonts w:ascii="方正书宋_GBK" w:eastAsia="方正书宋_GBK"/>
              </w:rPr>
              <w:t>双创双服”领导小组办公室工作经费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预算金额为10万元，主要用于深入落实省、市“双创双服”活动各项部署，以服务企业为重点服务发展，以实施民心工程为重点服务民生，完成全市“双创双服”活动工作任务，为完成全年经济社会发展目标奠定基础。</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35.00%</w:t>
            </w: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70.00%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1.深入落实省、市“双创双服”活动各项部署，以服务企业为重点服务发展，以实施民心工程为重点服务民生，完成全市“双创双服”活动工作任务，为完成全年经济社会发展目标奠定基础。</w:t>
            </w:r>
          </w:p>
          <w:p>
            <w:pPr>
              <w:spacing w:line="300" w:lineRule="exact"/>
              <w:jc w:val="left"/>
              <w:rPr>
                <w:rFonts w:ascii="方正书宋_GBK" w:eastAsia="方正书宋_GBK"/>
              </w:rPr>
            </w:pPr>
            <w:r>
              <w:rPr>
                <w:rFonts w:ascii="方正书宋_GBK" w:eastAsia="方正书宋_GBK"/>
              </w:rPr>
              <w:t>2.以“双创双服”活动实施意见为统领，统筹推进全市“双创双服”活动开展和各项工作督导落实；要在做好各项工作推进的同时，完成省级交办事项，解决好县级反馈问题，完成全市2020年“双创双服”活动工作任务。</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活动任务完成率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考察“双创双服”活动年度目标任务完成情况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2021年“双创双服”活动实施方案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活动任务符合要求标准</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各项任务达到年度目标要求标准</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合格</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2021年“双创双服”活动实施方案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活动任务完成时间</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各项任务完成时间</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2021年“双创双服”活动实施方案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印刷费成本控制</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印刷费用成本控制额</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服务民生，</w:t>
            </w:r>
          </w:p>
          <w:p>
            <w:pPr>
              <w:spacing w:line="300" w:lineRule="exact"/>
              <w:jc w:val="left"/>
              <w:rPr>
                <w:rFonts w:ascii="方正书宋_GBK" w:eastAsia="方正书宋_GBK"/>
              </w:rPr>
            </w:pPr>
            <w:r>
              <w:rPr>
                <w:rFonts w:ascii="方正书宋_GBK" w:eastAsia="方正书宋_GBK"/>
              </w:rPr>
              <w:t>保市场主体情况</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解决事关人民群众切身利益的住房、供暖等公共服务方面的实际问题及解决政策解读落实不到位、企业减负不明显等问题情况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优化</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活动开展情况满意度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考察服务对象对全市“双创双服”活动开展情况的满意度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问卷调查</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18" w:name="_Toc65052730"/>
      <w:r>
        <w:rPr>
          <w:rFonts w:ascii="方正仿宋_GBK" w:eastAsia="方正仿宋_GBK"/>
          <w:b/>
          <w:sz w:val="28"/>
        </w:rPr>
        <w:t>19.廊坊市粮油质量检测中心实验室建设资金绩效目标表</w:t>
      </w:r>
      <w:bookmarkEnd w:id="18"/>
      <w:r>
        <w:fldChar w:fldCharType="begin"/>
      </w:r>
      <w:r>
        <w:rPr>
          <w:rFonts w:ascii="方正仿宋_GBK" w:eastAsia="方正仿宋_GBK"/>
          <w:b/>
          <w:sz w:val="28"/>
        </w:rPr>
        <w:instrText xml:space="preserve"> TC 19、廊坊市粮油质量检测中心实验室建设资金绩效目标表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13100021RG7FQVT7CGPGX</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廊坊市粮油质量检测中心实验室建设资金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560.00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560.00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预算金额为560万元，开展本项目主要解决我市粮油质检空白的问题，确保我市粮油质检能力水平提升的目标达成。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1.开展本项目主要解决我市粮油质检空白的问题，确保我市粮油质检能力水平提升的目标达成。</w:t>
            </w:r>
          </w:p>
          <w:p>
            <w:pPr>
              <w:spacing w:line="300" w:lineRule="exact"/>
              <w:jc w:val="left"/>
              <w:rPr>
                <w:rFonts w:ascii="方正书宋_GBK" w:eastAsia="方正书宋_GBK"/>
              </w:rPr>
            </w:pPr>
            <w:r>
              <w:rPr>
                <w:rFonts w:ascii="方正书宋_GBK" w:eastAsia="方正书宋_GBK"/>
              </w:rPr>
              <w:t>2.开展过程中从组织建设、资金使用、工作程序、严明纪律等方面对对项目进行保障。</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工作场所</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场地面积达到建设方案要求</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≥1000平米</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《河北省粮食质量安全检验监测体系建设实施方案》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人员数量</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工作人员数量达到建设方案要求</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10人</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廊编〔2020〕29号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购置空调</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按要求购置空调数量</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≤45台</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装修改造质量</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实验室装修改造合格率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验收报告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设备质量</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购置设备验收合格率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验收报告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建设进度及时性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建设预算执行进度符合合同约定</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合同书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竣工验收及时性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按要求完成竣工及验收工作</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合同书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实验室装修</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按文件要求对实验室进行装修</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≤97.85万元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合同书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标准实验室台柜类及其配套安装</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按文件要求对实验室台柜类及其配套安装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≤134.58万元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合同书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保障食品质量安全</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能够保障粮油产品质量安全，让人民群众吃上放心粮油</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可持续影响指标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优化粮油市场环境</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有助于规范和提升本市粮油市场供需平衡，持续优化粮油市场环境</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优化</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服务对象对工作满意程度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19" w:name="_Toc65052731"/>
      <w:r>
        <w:rPr>
          <w:rFonts w:ascii="方正仿宋_GBK" w:eastAsia="方正仿宋_GBK"/>
          <w:b/>
          <w:sz w:val="28"/>
        </w:rPr>
        <w:t>20.政府投资项目评估论证经费绩效目标表</w:t>
      </w:r>
      <w:bookmarkEnd w:id="19"/>
      <w:r>
        <w:fldChar w:fldCharType="begin"/>
      </w:r>
      <w:r>
        <w:rPr>
          <w:rFonts w:ascii="方正仿宋_GBK" w:eastAsia="方正仿宋_GBK"/>
          <w:b/>
          <w:sz w:val="28"/>
        </w:rPr>
        <w:instrText xml:space="preserve"> TC 20、政府投资项目评估论证经费绩效目标表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13100021SUEKICB60SSYQ</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政府投资项目评估论证经费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550.00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550.00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本年度资金总额为550万元，主要用于以咨询评估意见为基础，科学、合理完成建设规划批复、项目批复、资金申报等工作。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1.为加强投资决策的科学性和民主性，提高投资咨询评估的质量和效率，高效集约利用财政性资金。</w:t>
            </w:r>
          </w:p>
          <w:p>
            <w:pPr>
              <w:spacing w:line="300" w:lineRule="exact"/>
              <w:jc w:val="left"/>
              <w:rPr>
                <w:rFonts w:ascii="方正书宋_GBK" w:eastAsia="方正书宋_GBK"/>
              </w:rPr>
            </w:pPr>
            <w:r>
              <w:rPr>
                <w:rFonts w:ascii="方正书宋_GBK" w:eastAsia="方正书宋_GBK"/>
              </w:rPr>
              <w:t>2.以咨询评估意见为基础，科学、合理完成建设规划批复、项目批复、资金申报等工作。</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编制评估报告完成率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根据往年经测算，2021年评估项目预计30个。</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建设规划、建设项目等批复文件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评估报告满足评估要求</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评估报告满足审批要求</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满足</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评估报告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评估报告及时性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按照规定时间完成评估工作</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签署合同约定时间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按照招标指导价执行</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考核项目实施过程中个性支出是否有效的控制在定额标准内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≤400万元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推进政府投资项目建设</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通过对政府投资项目专项规划，对投资项目的完成起到作用。</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推进</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项目单位满意度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考核项目单位满意程度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20" w:name="_Toc65052732"/>
      <w:r>
        <w:rPr>
          <w:rFonts w:ascii="方正仿宋_GBK" w:eastAsia="方正仿宋_GBK"/>
          <w:b/>
          <w:sz w:val="28"/>
        </w:rPr>
        <w:t>21.粮食应急保障经费绩效目标表</w:t>
      </w:r>
      <w:bookmarkEnd w:id="20"/>
      <w:r>
        <w:fldChar w:fldCharType="begin"/>
      </w:r>
      <w:r>
        <w:rPr>
          <w:rFonts w:ascii="方正仿宋_GBK" w:eastAsia="方正仿宋_GBK"/>
          <w:b/>
          <w:sz w:val="28"/>
        </w:rPr>
        <w:instrText xml:space="preserve"> TC 21、粮食应急保障经费绩效目标表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13100021UDW4W4NNAB1CR</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粮食应急保障经费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本年度预算金额为20万元，主要通过项目的开展完成粮食质量检验和应急物资食品的储备，实现我市粮食应急保障能力提升和粮食质量安全。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w:t>
            </w: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1.通过项目的开展实现廊坊市粮食应急保障体系建设完善，保障我市粮食应急保障能力提升。</w:t>
            </w:r>
          </w:p>
          <w:p>
            <w:pPr>
              <w:spacing w:line="300" w:lineRule="exact"/>
              <w:jc w:val="left"/>
              <w:rPr>
                <w:rFonts w:ascii="方正书宋_GBK" w:eastAsia="方正书宋_GBK"/>
              </w:rPr>
            </w:pPr>
            <w:r>
              <w:rPr>
                <w:rFonts w:ascii="方正书宋_GBK" w:eastAsia="方正书宋_GBK"/>
              </w:rPr>
              <w:t>2.通过项目的开展完成粮食质量检验和应急物资食品的储备，实现我市粮食应急保障能力提升和粮食质量安全。</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粮食质量检测样本</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新收获粮食质量检测样本10个，小麦玉米各5个</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≥10个</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省级粮食检验文件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储备粮质量检测样本</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地方储备粮库存质量检测样本12个</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≥12个</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省级粮食检验文件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应急储备物资合格率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应急储备物资合格情况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合格</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实际验收情况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及时完成</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及时按照文件要求完成工作任务</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省级粮食检验文件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成本控制额</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成本支出在预算标准内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应急物资食品储备能力提升率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应急物资食品储备能力提升情况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提升</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省级粮食检验文件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部门满意度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省粮食和物资储备局粮食质量检测主管单位</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21" w:name="_Toc65052733"/>
      <w:r>
        <w:rPr>
          <w:rFonts w:ascii="方正仿宋_GBK" w:eastAsia="方正仿宋_GBK"/>
          <w:b/>
          <w:sz w:val="28"/>
        </w:rPr>
        <w:t>22.2021年简易建筑费（冀财建【2020】294号）绩效目标表</w:t>
      </w:r>
      <w:bookmarkEnd w:id="21"/>
      <w:r>
        <w:fldChar w:fldCharType="begin"/>
      </w:r>
      <w:r>
        <w:rPr>
          <w:rFonts w:ascii="方正仿宋_GBK" w:eastAsia="方正仿宋_GBK"/>
          <w:b/>
          <w:sz w:val="28"/>
        </w:rPr>
        <w:instrText xml:space="preserve"> TC 22、2021年简易建筑费（冀财建【2020】294号）绩效目标表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13100021UMEZK2O6FQ0BA</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2021年简易建筑费（冀财建【2020】294号）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80.00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80.00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预算金额为80万元，主要用于我市国有粮食企业仓储设施的简易维修。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1.用于我市国有粮食企业仓储设施的简易维修</w:t>
            </w:r>
          </w:p>
          <w:p>
            <w:pPr>
              <w:spacing w:line="300" w:lineRule="exact"/>
              <w:jc w:val="left"/>
              <w:rPr>
                <w:rFonts w:ascii="方正书宋_GBK" w:eastAsia="方正书宋_GBK"/>
              </w:rPr>
            </w:pPr>
            <w:r>
              <w:rPr>
                <w:rFonts w:ascii="方正书宋_GBK" w:eastAsia="方正书宋_GBK"/>
              </w:rPr>
              <w:t>2.改善国有粮食企业仓储设施。</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下拨企业数量</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下拨企业粮库维修费</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≥2个</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优良率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结项鉴定优秀等级项目数量占结项总数量的比例（百分比）</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及时拨付下拨企业资金</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验收报告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成本控制在预算内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≤80万元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保障国有粮食企业基础设置安全</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保证国有粮食企业基础设施安全有效</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保障有力</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企业满意度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下拨企业对资金拨付满意度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 xml:space="preserve">问卷调查 </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22" w:name="_Toc65052734"/>
      <w:r>
        <w:rPr>
          <w:rFonts w:ascii="方正仿宋_GBK" w:eastAsia="方正仿宋_GBK"/>
          <w:b/>
          <w:sz w:val="28"/>
        </w:rPr>
        <w:t>23.廊坊市企业技术中心及”双创“示范基地认定评审专项经费绩效目标表</w:t>
      </w:r>
      <w:bookmarkEnd w:id="22"/>
      <w:r>
        <w:fldChar w:fldCharType="begin"/>
      </w:r>
      <w:r>
        <w:rPr>
          <w:rFonts w:ascii="方正仿宋_GBK" w:eastAsia="方正仿宋_GBK"/>
          <w:b/>
          <w:sz w:val="28"/>
        </w:rPr>
        <w:instrText xml:space="preserve"> TC 23、廊坊市企业技术中心及\”双创\“示范基地认定评审专项经费绩效目标表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13100021XCK7XAU875KGE</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廊坊市企业技术中心及”双创“示范基地认定评审专项经费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25.00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25.00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本年度资金总额为25万元，主要用于通过项目的开展实现年度廊坊市企业技术中心及廊坊市“双创”示范基地认定计划任务保障本年度认定工作的顺利完成。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1.通过项目的开展实现年度廊坊市企业技术中心及廊坊市“双创”示范基地认定计划任务保障本年度认定工作的顺利完成。保障认定工作的顺利完成。</w:t>
            </w:r>
          </w:p>
          <w:p>
            <w:pPr>
              <w:spacing w:line="300" w:lineRule="exact"/>
              <w:jc w:val="left"/>
              <w:rPr>
                <w:rFonts w:ascii="方正书宋_GBK" w:eastAsia="方正书宋_GBK"/>
              </w:rPr>
            </w:pPr>
            <w:r>
              <w:rPr>
                <w:rFonts w:ascii="方正书宋_GBK" w:eastAsia="方正书宋_GBK"/>
              </w:rPr>
              <w:t>2.通过项目的开展完成年度认定目标，实现100%。</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评审个数</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廊坊市企业技术中心及“双创”示范基地认定评审符合认定条件</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≥2个</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认定管理办法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符合认定条件</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符合认定条件</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认定名单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按合同及时拨付经费</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拨付凭证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委托业务费控制额</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委托业务费控制在预算成本内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≤24万元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企业创新能力建设</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促进企业技术创新能力建设</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促进</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促进企业创新能力建设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促进双创活动开展</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加快推进大众创业万众创新深入开展，大力营造“双创”环境</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促进</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认定管理办法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可持续影响指标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评审制度完善度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管理办法完善</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完善</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评审制度完善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认定工作满意度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认定企业对认定工作的满意度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23" w:name="_Toc65052735"/>
      <w:r>
        <w:rPr>
          <w:rFonts w:ascii="方正仿宋_GBK" w:eastAsia="方正仿宋_GBK"/>
          <w:b/>
          <w:sz w:val="28"/>
        </w:rPr>
        <w:t>24.“双创”活动周筹备经费绩效目标表</w:t>
      </w:r>
      <w:bookmarkEnd w:id="23"/>
      <w:r>
        <w:fldChar w:fldCharType="begin"/>
      </w:r>
      <w:r>
        <w:rPr>
          <w:rFonts w:ascii="方正仿宋_GBK" w:eastAsia="方正仿宋_GBK"/>
          <w:b/>
          <w:sz w:val="28"/>
        </w:rPr>
        <w:instrText xml:space="preserve"> TC 24、\“双创\”活动周筹备经费绩效目标表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13100021YIANHUH23NL3W</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hint="cs" w:ascii="方正书宋_GBK" w:eastAsia="方正书宋_GBK"/>
              </w:rPr>
              <w:t>“</w:t>
            </w:r>
            <w:r>
              <w:rPr>
                <w:rFonts w:ascii="方正书宋_GBK" w:eastAsia="方正书宋_GBK"/>
              </w:rPr>
              <w:t>双创”活动周筹备经费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50.00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50.00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本年度资金总额为50万元，主要通过项目的开展完成双创周活动，聚焦大智移云和战略性新兴产业，突出权威政策解读、重点项目对接、优势产能展示。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1.通过搭建“双创”展示平台，推动形成新一轮创业创新热潮，为实现创新驱动发展汇聚智慧和力量。</w:t>
            </w:r>
          </w:p>
          <w:p>
            <w:pPr>
              <w:spacing w:line="300" w:lineRule="exact"/>
              <w:jc w:val="left"/>
              <w:rPr>
                <w:rFonts w:ascii="方正书宋_GBK" w:eastAsia="方正书宋_GBK"/>
              </w:rPr>
            </w:pPr>
            <w:r>
              <w:rPr>
                <w:rFonts w:ascii="方正书宋_GBK" w:eastAsia="方正书宋_GBK"/>
              </w:rPr>
              <w:t>2.通过项目的开展完成双创周活动，聚焦大智移云和战略性新兴产业，突出权威政策解读、重点项目对接、优势产能展示。</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会议筹备活动</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会议筹备次数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≥1次</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相关会议通知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符合上级要求</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符合上级要求</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按省要求及时完成“双创”周活动</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按省要求及时完成“双创”周活动</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租赁费用控制额</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租赁费用控制在预算成本内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≤18万元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创业创新推动力</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推动形成新一轮创业创新热潮，实现创新驱动发展汇聚智慧和力量。</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搭建“双创”展示平台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hint="cs" w:ascii="方正书宋_GBK" w:eastAsia="方正书宋_GBK"/>
              </w:rPr>
              <w:t>“</w:t>
            </w:r>
            <w:r>
              <w:rPr>
                <w:rFonts w:ascii="方正书宋_GBK" w:eastAsia="方正书宋_GBK"/>
              </w:rPr>
              <w:t>双创”周满意度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考核参会单位满意度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24" w:name="_Toc65052736"/>
      <w:r>
        <w:rPr>
          <w:rFonts w:ascii="方正仿宋_GBK" w:eastAsia="方正仿宋_GBK"/>
          <w:b/>
          <w:sz w:val="28"/>
        </w:rPr>
        <w:t>25.2021年军粮供应和集约化保障建设资金（冀财建【2020】302号）绩效目标表</w:t>
      </w:r>
      <w:bookmarkEnd w:id="24"/>
      <w:r>
        <w:fldChar w:fldCharType="begin"/>
      </w:r>
      <w:r>
        <w:rPr>
          <w:rFonts w:ascii="方正仿宋_GBK" w:eastAsia="方正仿宋_GBK"/>
          <w:b/>
          <w:sz w:val="28"/>
        </w:rPr>
        <w:instrText xml:space="preserve"> TC 25、2021年军粮供应和集约化保障建设资金（冀财建【2020】302号）绩效目标表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13100021YPDQDCZDXB61F</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2021年军粮供应和集约化保障建设资金（冀财建【2020】302号）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预算资金为108.50万元，主要用于保障我市2020年供应基础工作。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1.保障我市2021年供应基础工作。</w:t>
            </w:r>
          </w:p>
          <w:p>
            <w:pPr>
              <w:spacing w:line="300" w:lineRule="exact"/>
              <w:jc w:val="left"/>
              <w:rPr>
                <w:rFonts w:ascii="方正书宋_GBK" w:eastAsia="方正书宋_GBK"/>
              </w:rPr>
            </w:pPr>
            <w:r>
              <w:rPr>
                <w:rFonts w:ascii="方正书宋_GBK" w:eastAsia="方正书宋_GBK"/>
              </w:rPr>
              <w:t>2.做好集约化保障建设资金。</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下拨单位数量</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根据文件要求下拨单位数量</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≥1个</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下拨单位准确率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下拨单位准确情况</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及时下拨资金</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财务拨付凭证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成本控制在预算内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≤108.5万元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保障军粮供应</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保障我市军粮供应工作顺利开展</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提供保障</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下属企业满意度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下属企业对下拨资金情况的满意度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问卷调查</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25" w:name="_Toc65052737"/>
      <w:r>
        <w:rPr>
          <w:rFonts w:ascii="方正仿宋_GBK" w:eastAsia="方正仿宋_GBK"/>
          <w:b/>
          <w:sz w:val="28"/>
        </w:rPr>
        <w:t>26.大项目前期工作经费绩效目标表</w:t>
      </w:r>
      <w:bookmarkEnd w:id="25"/>
      <w:r>
        <w:fldChar w:fldCharType="begin"/>
      </w:r>
      <w:r>
        <w:rPr>
          <w:rFonts w:ascii="方正仿宋_GBK" w:eastAsia="方正仿宋_GBK"/>
          <w:b/>
          <w:sz w:val="28"/>
        </w:rPr>
        <w:instrText xml:space="preserve"> TC 26、大项目前期工作经费绩效目标表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13100021Z4ZRAPIH303QB</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大项目前期工作经费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200.00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200.00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本年度预算金额为100万元，主要用于完成2021年全市列入的省重点项目、市重点项目和亿元以上项目建设任务。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1.完成2021年全市列入的省重点项目、市重点项目和亿元以上项目建设任务。</w:t>
            </w:r>
          </w:p>
          <w:p>
            <w:pPr>
              <w:spacing w:line="300" w:lineRule="exact"/>
              <w:jc w:val="left"/>
              <w:rPr>
                <w:rFonts w:ascii="方正书宋_GBK" w:eastAsia="方正书宋_GBK"/>
              </w:rPr>
            </w:pPr>
            <w:r>
              <w:rPr>
                <w:rFonts w:ascii="方正书宋_GBK" w:eastAsia="方正书宋_GBK"/>
              </w:rPr>
              <w:t>2.通过加大对重点项目的引进、建设和管理力度，实施项目带动战略，拉动全市经济指标。</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召开会议完成率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市委、市政府安排召开的会议完成程度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观摩拉练次数</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考核织项目观摩拉练次数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2次</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重点项目培训次数</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考核组织重点项目培训次数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≥1次</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省、市委、市政府交办的工作任务</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完成省、市委、市政府交办的工作任务</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合格</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完成工作任务情况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及时完成省、市委、市政府交办的</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及时完成省、市委、市政府交办的工作任务及时性</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成本有效性</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考核项目实施过程中各项支出是否有效的控制在定额标准内</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有效</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定额标准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提高全市经济建设</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通过加大项目引进、建设和管理力度，实施项目带动战略要求，拉动全市经济建设。</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提高</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实际工作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受益群体满意度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考核受益群体满意度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26" w:name="_Toc65052738"/>
      <w:r>
        <w:rPr>
          <w:rFonts w:ascii="方正仿宋_GBK" w:eastAsia="方正仿宋_GBK"/>
          <w:b/>
          <w:sz w:val="28"/>
        </w:rPr>
        <w:t>27.救灾物资购置经费绩效目标表</w:t>
      </w:r>
      <w:bookmarkEnd w:id="26"/>
      <w:r>
        <w:fldChar w:fldCharType="begin"/>
      </w:r>
      <w:r>
        <w:rPr>
          <w:rFonts w:ascii="方正仿宋_GBK" w:eastAsia="方正仿宋_GBK"/>
          <w:b/>
          <w:sz w:val="28"/>
        </w:rPr>
        <w:instrText xml:space="preserve"> TC 27、救灾物资购置经费绩效目标表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13100021Z726KGXCPP9B5</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救灾物资购置经费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1130.86</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1130.86</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本年预算金额为1130.86万元，主要通过项目的开展实现提升全市重大自然灾害防御能力，保证受灾群众基本生活得到及时救助，保证救灾物资安全及时有效，为重特大自然灾害救助提供有力支持。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1.通过项目的开展实现提升全市重大自然灾害防御能力，保证受灾群众基本生活得到及时救助，保证救灾物资安全及时有效，为重特大自然灾害救助提供有力支持。</w:t>
            </w:r>
          </w:p>
          <w:p>
            <w:pPr>
              <w:spacing w:line="300" w:lineRule="exact"/>
              <w:jc w:val="left"/>
              <w:rPr>
                <w:rFonts w:ascii="方正书宋_GBK" w:eastAsia="方正书宋_GBK"/>
              </w:rPr>
            </w:pPr>
            <w:r>
              <w:rPr>
                <w:rFonts w:ascii="方正书宋_GBK" w:eastAsia="方正书宋_GBK"/>
              </w:rPr>
              <w:t>2.通过项目的开展完成本年度市级救灾物资轮换，保证救灾物资储备的质量安全、数量达标，为自然灾害和突发公共事件发生时的紧急救助提供物资保障。</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救灾物资储备数量达标率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按照《市自然灾害救助应急预案》三级响应标准安排储备物资</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《廊坊市自然灾害救助应急预案》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救灾物资质量完好率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无质量问题储备物资数量占全部储存数量的比例</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《救灾物资储备管理办法》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救灾物资下拨时间</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按照《市自然灾害救助应急预案》三级响应，灾情发生后24小时之内下拨到灾区。</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&lt;24小时</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《廊坊市自然灾害救助应急预案》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控制储备物资费用支出</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≤1130.86万元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紧急救助社会达标率</w:t>
            </w:r>
            <w:r>
              <w:rPr>
                <w:rFonts w:ascii="方正书宋_GBK" w:eastAsia="方正书宋_GBK"/>
              </w:rPr>
              <w:tab/>
            </w:r>
          </w:p>
          <w:p>
            <w:pPr>
              <w:spacing w:line="300" w:lineRule="exact"/>
              <w:jc w:val="left"/>
              <w:rPr>
                <w:rFonts w:ascii="方正书宋_GBK" w:eastAsia="方正书宋_GBK"/>
              </w:rPr>
            </w:pP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救灾物资下拨及时、物资质量、数量达标。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《廊坊市自然灾害救助应急预案》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主管部门满意度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主管部门对救灾物资的下拨时间、质量的满意度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spacing w:line="300" w:lineRule="exact"/>
        <w:jc w:val="left"/>
        <w:sectPr>
          <w:pgSz w:w="16839" w:h="11907" w:orient="landscape"/>
          <w:pgMar w:top="1304" w:right="1984" w:bottom="1304" w:left="1134" w:header="851" w:footer="851"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27" w:name="_Toc65052739"/>
      <w:r>
        <w:rPr>
          <w:rFonts w:ascii="方正仿宋_GBK" w:eastAsia="方正仿宋_GBK"/>
          <w:b/>
          <w:sz w:val="28"/>
        </w:rPr>
        <w:t>28.购买石油化工安装工程质量监督管理服务经费绩效目标表</w:t>
      </w:r>
      <w:bookmarkEnd w:id="27"/>
      <w:r>
        <w:fldChar w:fldCharType="begin"/>
      </w:r>
      <w:r>
        <w:rPr>
          <w:rFonts w:ascii="方正仿宋_GBK" w:eastAsia="方正仿宋_GBK"/>
          <w:b/>
          <w:sz w:val="28"/>
        </w:rPr>
        <w:instrText xml:space="preserve"> TC 28、购买石油化工安装工程质量监督管理服务经费绩效目标表 \f C \l 1 </w:instrText>
      </w:r>
      <w:r>
        <w:rPr>
          <w:rFonts w:ascii="方正仿宋_GBK" w:eastAsia="方正仿宋_GBK"/>
          <w:b/>
          <w:sz w:val="28"/>
        </w:rPr>
        <w:fldChar w:fldCharType="end"/>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书宋_GBK" w:eastAsia="方正书宋_GBK"/>
                <w:b/>
              </w:rPr>
            </w:pPr>
            <w:r>
              <w:rPr>
                <w:rFonts w:ascii="方正书宋_GBK" w:eastAsia="方正书宋_GBK"/>
                <w:b/>
              </w:rPr>
              <w:t>221001廊坊市发展和改革委员会本级</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书宋_GBK" w:eastAsia="方正书宋_GBK"/>
              </w:rPr>
            </w:pPr>
            <w:r>
              <w:rPr>
                <w:rFonts w:ascii="方正书宋_GBK" w:eastAsia="方正书宋_GBK"/>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0"/>
            <w:vAlign w:val="center"/>
          </w:tcPr>
          <w:p>
            <w:pPr>
              <w:spacing w:line="300" w:lineRule="exact"/>
              <w:jc w:val="left"/>
              <w:rPr>
                <w:rFonts w:ascii="方正书宋_GBK" w:eastAsia="方正书宋_GBK"/>
              </w:rPr>
            </w:pPr>
            <w:r>
              <w:rPr>
                <w:rFonts w:ascii="方正书宋_GBK" w:eastAsia="方正书宋_GBK"/>
              </w:rPr>
              <w:t>13100021ZANKRBVX25E5H</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0"/>
            <w:vAlign w:val="center"/>
          </w:tcPr>
          <w:p>
            <w:pPr>
              <w:spacing w:line="300" w:lineRule="exact"/>
              <w:jc w:val="left"/>
              <w:rPr>
                <w:rFonts w:ascii="方正书宋_GBK" w:eastAsia="方正书宋_GBK"/>
              </w:rPr>
            </w:pPr>
            <w:r>
              <w:rPr>
                <w:rFonts w:ascii="方正书宋_GBK" w:eastAsia="方正书宋_GBK"/>
              </w:rPr>
              <w:t>购买石油化工安装工程质量监督管理服务经费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2.60</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2.60</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shd w:val="clear" w:color="auto" w:fill="auto"/>
            <w:noWrap w:val="0"/>
            <w:vAlign w:val="center"/>
          </w:tcPr>
          <w:p>
            <w:pPr>
              <w:spacing w:line="300" w:lineRule="exact"/>
              <w:jc w:val="left"/>
              <w:outlineLvl w:val="3"/>
            </w:pPr>
          </w:p>
        </w:tc>
        <w:tc>
          <w:tcPr>
            <w:tcW w:w="8278" w:type="dxa"/>
            <w:gridSpan w:val="6"/>
            <w:shd w:val="clear" w:color="auto" w:fill="auto"/>
            <w:noWrap w:val="0"/>
            <w:vAlign w:val="center"/>
          </w:tcPr>
          <w:p>
            <w:pPr>
              <w:spacing w:line="300" w:lineRule="exact"/>
              <w:jc w:val="left"/>
              <w:rPr>
                <w:rFonts w:ascii="方正书宋_GBK" w:eastAsia="方正书宋_GBK"/>
              </w:rPr>
            </w:pPr>
            <w:r>
              <w:rPr>
                <w:rFonts w:ascii="方正书宋_GBK" w:eastAsia="方正书宋_GBK"/>
              </w:rPr>
              <w:t>本年度资金为2.6万元，主要用于聘请第三方公司费用支出。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0"/>
            <w:vAlign w:val="center"/>
          </w:tcPr>
          <w:p>
            <w:pPr>
              <w:spacing w:line="300" w:lineRule="exact"/>
              <w:jc w:val="left"/>
              <w:outlineLvl w:val="3"/>
            </w:pPr>
          </w:p>
        </w:tc>
        <w:tc>
          <w:tcPr>
            <w:tcW w:w="2410"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noWrap w:val="0"/>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1.监督建设单位，完善相关手续，规范施工。提高建设项目质量。</w:t>
            </w:r>
          </w:p>
          <w:p>
            <w:pPr>
              <w:spacing w:line="300" w:lineRule="exact"/>
              <w:jc w:val="left"/>
              <w:rPr>
                <w:rFonts w:ascii="方正书宋_GBK" w:eastAsia="方正书宋_GBK"/>
              </w:rPr>
            </w:pPr>
            <w:r>
              <w:rPr>
                <w:rFonts w:ascii="方正书宋_GBK" w:eastAsia="方正书宋_GBK"/>
              </w:rPr>
              <w:t>2.通过项目的开展完成项目建设依法依规、科学施工、规范操作，防范各类事故的发生。</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质量监管报告</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聘请第三方机构对在建化工项目安装工程进行规范化监督管理</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1个</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监管报告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报告合格率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提高建设项目质量</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监管报告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完成及时率</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及时完成质量监管报告</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监管报告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成本控制额</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成本控制金额</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≤2.6万元</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防范各类事故发生</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通过项目的开展完成项目建设依法依规、科学施工、规范操作，防范各类事故的发生</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建设单位事故发生情况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ascii="方正书宋_GBK" w:eastAsia="方正书宋_GBK"/>
              </w:rPr>
            </w:pP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可持续影响指标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提高安全</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提高社会公众安全</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提高</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提高社会公众安全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监管报告的满意度</w:t>
            </w:r>
          </w:p>
        </w:tc>
        <w:tc>
          <w:tcPr>
            <w:tcW w:w="28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对质量监管报告的满意度</w:t>
            </w:r>
          </w:p>
        </w:tc>
        <w:tc>
          <w:tcPr>
            <w:tcW w:w="1276"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调查问卷</w:t>
            </w:r>
          </w:p>
        </w:tc>
      </w:tr>
    </w:tbl>
    <w:p>
      <w:pPr>
        <w:numPr>
          <w:ilvl w:val="0"/>
          <w:numId w:val="0"/>
        </w:numPr>
        <w:spacing w:line="584" w:lineRule="exact"/>
        <w:rPr>
          <w:rFonts w:hint="default" w:ascii="Times New Roman" w:hAnsi="Times New Roman" w:eastAsia="黑体" w:cs="Times New Roman"/>
          <w:sz w:val="32"/>
          <w:szCs w:val="32"/>
          <w:lang w:val="en-US" w:eastAsia="zh-CN"/>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六、政府采购预算情况</w:t>
      </w:r>
    </w:p>
    <w:p>
      <w:pPr>
        <w:spacing w:line="584" w:lineRule="exact"/>
        <w:ind w:firstLine="640" w:firstLineChars="200"/>
        <w:outlineLvl w:val="0"/>
        <w:rPr>
          <w:rFonts w:ascii="Times New Roman" w:hAnsi="Times New Roman" w:eastAsia="仿宋_GB2312" w:cs="Times New Roman"/>
          <w:sz w:val="32"/>
          <w:szCs w:val="24"/>
        </w:rPr>
      </w:pPr>
      <w:bookmarkStart w:id="28" w:name="_Toc471398468"/>
      <w:r>
        <w:rPr>
          <w:rFonts w:ascii="Times New Roman" w:hAnsi="Times New Roman" w:eastAsia="仿宋_GB2312" w:cs="Times New Roman"/>
          <w:sz w:val="32"/>
          <w:szCs w:val="24"/>
        </w:rPr>
        <w:t>20</w:t>
      </w:r>
      <w:r>
        <w:rPr>
          <w:rFonts w:hint="eastAsia" w:ascii="Times New Roman" w:hAnsi="Times New Roman" w:eastAsia="仿宋_GB2312" w:cs="Times New Roman"/>
          <w:sz w:val="32"/>
          <w:szCs w:val="24"/>
        </w:rPr>
        <w:t>21</w:t>
      </w:r>
      <w:r>
        <w:rPr>
          <w:rFonts w:ascii="Times New Roman" w:hAnsi="Times New Roman" w:eastAsia="仿宋_GB2312" w:cs="Times New Roman"/>
          <w:sz w:val="32"/>
          <w:szCs w:val="24"/>
        </w:rPr>
        <w:t>年，我部门安排政府采购预算</w:t>
      </w:r>
      <w:r>
        <w:rPr>
          <w:rFonts w:hint="eastAsia" w:ascii="仿宋" w:hAnsi="仿宋" w:eastAsia="仿宋" w:cs="仿宋"/>
          <w:b w:val="0"/>
          <w:bCs/>
          <w:sz w:val="32"/>
          <w:szCs w:val="32"/>
        </w:rPr>
        <w:t>1896.43</w:t>
      </w:r>
      <w:r>
        <w:rPr>
          <w:rFonts w:ascii="Times New Roman" w:hAnsi="Times New Roman" w:eastAsia="仿宋_GB2312" w:cs="Times New Roman"/>
          <w:sz w:val="32"/>
          <w:szCs w:val="24"/>
        </w:rPr>
        <w:t>万元。具体内容见下表。</w:t>
      </w:r>
    </w:p>
    <w:bookmarkEnd w:id="28"/>
    <w:p>
      <w:pPr>
        <w:spacing w:line="584" w:lineRule="exact"/>
        <w:jc w:val="left"/>
        <w:outlineLvl w:val="0"/>
        <w:rPr>
          <w:rFonts w:ascii="Times New Roman" w:hAnsi="Times New Roman" w:eastAsia="仿宋_GB2312" w:cs="Times New Roman"/>
        </w:rPr>
      </w:pPr>
    </w:p>
    <w:p>
      <w:pPr>
        <w:jc w:val="center"/>
        <w:outlineLvl w:val="1"/>
        <w:rPr>
          <w:rFonts w:ascii="Times New Roman" w:hAnsi="Times New Roman" w:cs="Times New Roman"/>
          <w:sz w:val="32"/>
        </w:rPr>
      </w:pPr>
      <w:bookmarkStart w:id="29" w:name="_Toc64920910"/>
      <w:r>
        <w:rPr>
          <w:rFonts w:hint="eastAsia" w:ascii="方正小标宋_GBK" w:eastAsia="方正小标宋_GBK" w:cs="Times New Roman"/>
          <w:sz w:val="32"/>
        </w:rPr>
        <w:t>部门政府采购预算</w:t>
      </w:r>
      <w:bookmarkEnd w:id="29"/>
    </w:p>
    <w:tbl>
      <w:tblPr>
        <w:tblStyle w:val="8"/>
        <w:tblW w:w="15507"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4"/>
        <w:gridCol w:w="1134"/>
        <w:gridCol w:w="1531"/>
        <w:gridCol w:w="1531"/>
        <w:gridCol w:w="709"/>
        <w:gridCol w:w="907"/>
        <w:gridCol w:w="907"/>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blHeader/>
          <w:jc w:val="center"/>
        </w:trPr>
        <w:tc>
          <w:tcPr>
            <w:tcW w:w="8703" w:type="dxa"/>
            <w:gridSpan w:val="7"/>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hint="eastAsia" w:ascii="仿宋" w:hAnsi="仿宋" w:eastAsia="仿宋" w:cs="仿宋"/>
                <w:b w:val="0"/>
                <w:bCs w:val="0"/>
                <w:sz w:val="24"/>
              </w:rPr>
            </w:pPr>
            <w:r>
              <w:rPr>
                <w:rFonts w:hint="eastAsia" w:ascii="仿宋" w:hAnsi="仿宋" w:eastAsia="仿宋" w:cs="仿宋"/>
                <w:b w:val="0"/>
                <w:bCs w:val="0"/>
                <w:sz w:val="24"/>
              </w:rPr>
              <w:t>廊坊市发展和改革委员会</w:t>
            </w:r>
          </w:p>
        </w:tc>
        <w:tc>
          <w:tcPr>
            <w:tcW w:w="6804"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hint="eastAsia" w:ascii="仿宋" w:hAnsi="仿宋" w:eastAsia="仿宋" w:cs="仿宋"/>
                <w:b w:val="0"/>
                <w:bCs w:val="0"/>
                <w:sz w:val="24"/>
              </w:rPr>
            </w:pPr>
            <w:r>
              <w:rPr>
                <w:rFonts w:hint="eastAsia" w:ascii="仿宋" w:hAnsi="仿宋" w:eastAsia="仿宋" w:cs="仿宋"/>
                <w:b w:val="0"/>
                <w:bCs w:val="0"/>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blHeader/>
          <w:jc w:val="center"/>
        </w:trPr>
        <w:tc>
          <w:tcPr>
            <w:tcW w:w="3118" w:type="dxa"/>
            <w:gridSpan w:val="2"/>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政府采购项目来源</w:t>
            </w:r>
          </w:p>
        </w:tc>
        <w:tc>
          <w:tcPr>
            <w:tcW w:w="1531" w:type="dxa"/>
            <w:vMerge w:val="restart"/>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采购物品名称</w:t>
            </w:r>
          </w:p>
        </w:tc>
        <w:tc>
          <w:tcPr>
            <w:tcW w:w="1531" w:type="dxa"/>
            <w:vMerge w:val="restart"/>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政府采购目录序号</w:t>
            </w:r>
          </w:p>
        </w:tc>
        <w:tc>
          <w:tcPr>
            <w:tcW w:w="709" w:type="dxa"/>
            <w:vMerge w:val="restart"/>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计量  单位</w:t>
            </w:r>
          </w:p>
        </w:tc>
        <w:tc>
          <w:tcPr>
            <w:tcW w:w="907" w:type="dxa"/>
            <w:vMerge w:val="restart"/>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数量</w:t>
            </w:r>
          </w:p>
        </w:tc>
        <w:tc>
          <w:tcPr>
            <w:tcW w:w="907" w:type="dxa"/>
            <w:vMerge w:val="restart"/>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单价</w:t>
            </w:r>
          </w:p>
        </w:tc>
        <w:tc>
          <w:tcPr>
            <w:tcW w:w="6804" w:type="dxa"/>
            <w:gridSpan w:val="6"/>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政府采购金额（当年部门预算安排资金）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blHeader/>
          <w:jc w:val="center"/>
        </w:trPr>
        <w:tc>
          <w:tcPr>
            <w:tcW w:w="1984"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项目名称</w:t>
            </w:r>
          </w:p>
        </w:tc>
        <w:tc>
          <w:tcPr>
            <w:tcW w:w="1134"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预算资金</w:t>
            </w:r>
          </w:p>
        </w:tc>
        <w:tc>
          <w:tcPr>
            <w:tcW w:w="1531" w:type="dxa"/>
            <w:vMerge w:val="continue"/>
            <w:shd w:val="clear" w:color="auto" w:fill="auto"/>
            <w:noWrap w:val="0"/>
            <w:vAlign w:val="center"/>
          </w:tcPr>
          <w:p>
            <w:pPr>
              <w:spacing w:line="300" w:lineRule="exact"/>
              <w:jc w:val="left"/>
              <w:outlineLvl w:val="1"/>
              <w:rPr>
                <w:rFonts w:hint="eastAsia" w:ascii="仿宋" w:hAnsi="仿宋" w:eastAsia="仿宋" w:cs="仿宋"/>
                <w:b w:val="0"/>
                <w:bCs w:val="0"/>
                <w:sz w:val="28"/>
              </w:rPr>
            </w:pPr>
          </w:p>
        </w:tc>
        <w:tc>
          <w:tcPr>
            <w:tcW w:w="1531" w:type="dxa"/>
            <w:vMerge w:val="continue"/>
            <w:shd w:val="clear" w:color="auto" w:fill="auto"/>
            <w:noWrap w:val="0"/>
            <w:vAlign w:val="center"/>
          </w:tcPr>
          <w:p>
            <w:pPr>
              <w:spacing w:line="300" w:lineRule="exact"/>
              <w:jc w:val="left"/>
              <w:outlineLvl w:val="1"/>
              <w:rPr>
                <w:rFonts w:hint="eastAsia" w:ascii="仿宋" w:hAnsi="仿宋" w:eastAsia="仿宋" w:cs="仿宋"/>
                <w:b w:val="0"/>
                <w:bCs w:val="0"/>
                <w:sz w:val="28"/>
              </w:rPr>
            </w:pPr>
          </w:p>
        </w:tc>
        <w:tc>
          <w:tcPr>
            <w:tcW w:w="709" w:type="dxa"/>
            <w:vMerge w:val="continue"/>
            <w:shd w:val="clear" w:color="auto" w:fill="auto"/>
            <w:noWrap w:val="0"/>
            <w:vAlign w:val="center"/>
          </w:tcPr>
          <w:p>
            <w:pPr>
              <w:spacing w:line="300" w:lineRule="exact"/>
              <w:jc w:val="left"/>
              <w:outlineLvl w:val="1"/>
              <w:rPr>
                <w:rFonts w:hint="eastAsia" w:ascii="仿宋" w:hAnsi="仿宋" w:eastAsia="仿宋" w:cs="仿宋"/>
                <w:b w:val="0"/>
                <w:bCs w:val="0"/>
                <w:sz w:val="28"/>
              </w:rPr>
            </w:pPr>
          </w:p>
        </w:tc>
        <w:tc>
          <w:tcPr>
            <w:tcW w:w="907" w:type="dxa"/>
            <w:vMerge w:val="continue"/>
            <w:shd w:val="clear" w:color="auto" w:fill="auto"/>
            <w:noWrap w:val="0"/>
            <w:vAlign w:val="center"/>
          </w:tcPr>
          <w:p>
            <w:pPr>
              <w:spacing w:line="300" w:lineRule="exact"/>
              <w:jc w:val="left"/>
              <w:outlineLvl w:val="1"/>
              <w:rPr>
                <w:rFonts w:hint="eastAsia" w:ascii="仿宋" w:hAnsi="仿宋" w:eastAsia="仿宋" w:cs="仿宋"/>
                <w:b w:val="0"/>
                <w:bCs w:val="0"/>
                <w:sz w:val="28"/>
              </w:rPr>
            </w:pPr>
          </w:p>
        </w:tc>
        <w:tc>
          <w:tcPr>
            <w:tcW w:w="907" w:type="dxa"/>
            <w:vMerge w:val="continue"/>
            <w:shd w:val="clear" w:color="auto" w:fill="auto"/>
            <w:noWrap w:val="0"/>
            <w:vAlign w:val="center"/>
          </w:tcPr>
          <w:p>
            <w:pPr>
              <w:spacing w:line="300" w:lineRule="exact"/>
              <w:jc w:val="left"/>
              <w:outlineLvl w:val="1"/>
              <w:rPr>
                <w:rFonts w:hint="eastAsia" w:ascii="仿宋" w:hAnsi="仿宋" w:eastAsia="仿宋" w:cs="仿宋"/>
                <w:b w:val="0"/>
                <w:bCs w:val="0"/>
                <w:sz w:val="28"/>
              </w:rPr>
            </w:pPr>
          </w:p>
        </w:tc>
        <w:tc>
          <w:tcPr>
            <w:tcW w:w="1134"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合计</w:t>
            </w:r>
          </w:p>
        </w:tc>
        <w:tc>
          <w:tcPr>
            <w:tcW w:w="1134"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一般公共预算拨款</w:t>
            </w:r>
          </w:p>
        </w:tc>
        <w:tc>
          <w:tcPr>
            <w:tcW w:w="1134"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基金预算拨款</w:t>
            </w:r>
          </w:p>
        </w:tc>
        <w:tc>
          <w:tcPr>
            <w:tcW w:w="1134"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国有资本经营预算拨款</w:t>
            </w:r>
          </w:p>
        </w:tc>
        <w:tc>
          <w:tcPr>
            <w:tcW w:w="1134"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财政专户核拨</w:t>
            </w:r>
          </w:p>
        </w:tc>
        <w:tc>
          <w:tcPr>
            <w:tcW w:w="1134"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单位资金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合  计</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531" w:type="dxa"/>
            <w:shd w:val="clear" w:color="auto" w:fill="auto"/>
            <w:noWrap w:val="0"/>
            <w:vAlign w:val="center"/>
          </w:tcPr>
          <w:p>
            <w:pPr>
              <w:spacing w:line="300" w:lineRule="exact"/>
              <w:jc w:val="left"/>
              <w:rPr>
                <w:rFonts w:hint="eastAsia" w:ascii="仿宋" w:hAnsi="仿宋" w:eastAsia="仿宋" w:cs="仿宋"/>
                <w:b w:val="0"/>
                <w:bCs w:val="0"/>
              </w:rPr>
            </w:pPr>
          </w:p>
        </w:tc>
        <w:tc>
          <w:tcPr>
            <w:tcW w:w="1531" w:type="dxa"/>
            <w:shd w:val="clear" w:color="auto" w:fill="auto"/>
            <w:noWrap w:val="0"/>
            <w:vAlign w:val="center"/>
          </w:tcPr>
          <w:p>
            <w:pPr>
              <w:spacing w:line="300" w:lineRule="exact"/>
              <w:jc w:val="left"/>
              <w:rPr>
                <w:rFonts w:hint="eastAsia" w:ascii="仿宋" w:hAnsi="仿宋" w:eastAsia="仿宋" w:cs="仿宋"/>
                <w:b w:val="0"/>
                <w:bCs w:val="0"/>
              </w:rPr>
            </w:pP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p>
        </w:tc>
        <w:tc>
          <w:tcPr>
            <w:tcW w:w="907" w:type="dxa"/>
            <w:shd w:val="clear" w:color="auto" w:fill="auto"/>
            <w:noWrap w:val="0"/>
            <w:vAlign w:val="center"/>
          </w:tcPr>
          <w:p>
            <w:pPr>
              <w:spacing w:line="300" w:lineRule="exact"/>
              <w:jc w:val="right"/>
              <w:rPr>
                <w:rFonts w:hint="eastAsia" w:ascii="仿宋" w:hAnsi="仿宋" w:eastAsia="仿宋" w:cs="仿宋"/>
                <w:b w:val="0"/>
                <w:bCs w:val="0"/>
              </w:rPr>
            </w:pPr>
          </w:p>
        </w:tc>
        <w:tc>
          <w:tcPr>
            <w:tcW w:w="907"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1896.43</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1896.43</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廊坊市发展和改革委员会本级小计</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531" w:type="dxa"/>
            <w:shd w:val="clear" w:color="auto" w:fill="auto"/>
            <w:noWrap w:val="0"/>
            <w:vAlign w:val="center"/>
          </w:tcPr>
          <w:p>
            <w:pPr>
              <w:spacing w:line="300" w:lineRule="exact"/>
              <w:jc w:val="left"/>
              <w:rPr>
                <w:rFonts w:hint="eastAsia" w:ascii="仿宋" w:hAnsi="仿宋" w:eastAsia="仿宋" w:cs="仿宋"/>
                <w:b w:val="0"/>
                <w:bCs w:val="0"/>
              </w:rPr>
            </w:pPr>
          </w:p>
        </w:tc>
        <w:tc>
          <w:tcPr>
            <w:tcW w:w="1531" w:type="dxa"/>
            <w:shd w:val="clear" w:color="auto" w:fill="auto"/>
            <w:noWrap w:val="0"/>
            <w:vAlign w:val="center"/>
          </w:tcPr>
          <w:p>
            <w:pPr>
              <w:spacing w:line="300" w:lineRule="exact"/>
              <w:jc w:val="left"/>
              <w:rPr>
                <w:rFonts w:hint="eastAsia" w:ascii="仿宋" w:hAnsi="仿宋" w:eastAsia="仿宋" w:cs="仿宋"/>
                <w:b w:val="0"/>
                <w:bCs w:val="0"/>
              </w:rPr>
            </w:pP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p>
        </w:tc>
        <w:tc>
          <w:tcPr>
            <w:tcW w:w="907" w:type="dxa"/>
            <w:shd w:val="clear" w:color="auto" w:fill="auto"/>
            <w:noWrap w:val="0"/>
            <w:vAlign w:val="center"/>
          </w:tcPr>
          <w:p>
            <w:pPr>
              <w:spacing w:line="300" w:lineRule="exact"/>
              <w:jc w:val="right"/>
              <w:rPr>
                <w:rFonts w:hint="eastAsia" w:ascii="仿宋" w:hAnsi="仿宋" w:eastAsia="仿宋" w:cs="仿宋"/>
                <w:b w:val="0"/>
                <w:bCs w:val="0"/>
              </w:rPr>
            </w:pPr>
          </w:p>
        </w:tc>
        <w:tc>
          <w:tcPr>
            <w:tcW w:w="907"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1896.43</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1896.43</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发改委运行经费</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481.79</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物业管理服务</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C1204</w:t>
            </w: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个</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110.00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110.00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110.00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救灾物资购置经费</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1130.86</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其他灯具</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A02061999</w:t>
            </w: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台</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957</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0.01</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9.57</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9.57</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救灾物资购置经费</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1130.86</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取暖器</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A0206180207</w:t>
            </w: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台</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957</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0.02</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19.14</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19.14</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531" w:type="dxa"/>
            <w:shd w:val="clear" w:color="auto" w:fill="auto"/>
            <w:noWrap w:val="0"/>
            <w:vAlign w:val="center"/>
          </w:tcPr>
          <w:p>
            <w:pPr>
              <w:spacing w:line="300" w:lineRule="exact"/>
              <w:jc w:val="left"/>
              <w:rPr>
                <w:rFonts w:hint="eastAsia" w:ascii="仿宋" w:hAnsi="仿宋" w:eastAsia="仿宋" w:cs="仿宋"/>
                <w:b w:val="0"/>
                <w:bCs w:val="0"/>
              </w:rPr>
            </w:pPr>
          </w:p>
        </w:tc>
        <w:tc>
          <w:tcPr>
            <w:tcW w:w="1531" w:type="dxa"/>
            <w:shd w:val="clear" w:color="auto" w:fill="auto"/>
            <w:noWrap w:val="0"/>
            <w:vAlign w:val="center"/>
          </w:tcPr>
          <w:p>
            <w:pPr>
              <w:spacing w:line="300" w:lineRule="exact"/>
              <w:jc w:val="left"/>
              <w:rPr>
                <w:rFonts w:hint="eastAsia" w:ascii="仿宋" w:hAnsi="仿宋" w:eastAsia="仿宋" w:cs="仿宋"/>
                <w:b w:val="0"/>
                <w:bCs w:val="0"/>
              </w:rPr>
            </w:pP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p>
        </w:tc>
        <w:tc>
          <w:tcPr>
            <w:tcW w:w="907" w:type="dxa"/>
            <w:shd w:val="clear" w:color="auto" w:fill="auto"/>
            <w:noWrap w:val="0"/>
            <w:vAlign w:val="center"/>
          </w:tcPr>
          <w:p>
            <w:pPr>
              <w:spacing w:line="300" w:lineRule="exact"/>
              <w:jc w:val="right"/>
              <w:rPr>
                <w:rFonts w:hint="eastAsia" w:ascii="仿宋" w:hAnsi="仿宋" w:eastAsia="仿宋" w:cs="仿宋"/>
                <w:b w:val="0"/>
                <w:bCs w:val="0"/>
              </w:rPr>
            </w:pPr>
          </w:p>
        </w:tc>
        <w:tc>
          <w:tcPr>
            <w:tcW w:w="907"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救灾物资购置经费</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1130.86</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其他床类</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A060199</w:t>
            </w: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个</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9400</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0.03</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282.00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282.00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救灾物资购置经费</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1130.86</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普通服装</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A07030103</w:t>
            </w: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件</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9000</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0.01</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90.00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90.00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救灾物资购置经费</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1130.86</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其他鞋或靴</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A0703010499</w:t>
            </w: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双</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9500</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0.01</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95.00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95.00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救灾物资购置经费</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1130.86</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毛巾被</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A07030208</w:t>
            </w: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套</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9000</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0.01</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90.00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90.00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救灾物资购置经费</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1130.86</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其他床上用具</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A07030299</w:t>
            </w: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个</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9700</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0.01</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97.00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97.00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救灾物资购置经费</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1130.86</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其他床上用具</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A07030299</w:t>
            </w: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件</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8000</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0.01</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80.00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80.00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救灾物资购置经费</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1130.86</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天篷、遮阳篷、帐篷</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A07030401</w:t>
            </w: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套</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614</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0.17</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104.38</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104.38</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救灾物资购置经费</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1130.86</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天篷、遮阳篷、帐篷</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A07030401</w:t>
            </w: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套</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343</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0.24</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82.32</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82.32</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救灾物资购置经费</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1130.86</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天篷、遮阳篷、帐篷</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A07030401</w:t>
            </w: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个</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1000</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0.01</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10.00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10.00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救灾物资购置经费</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1130.86</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其他被服装具</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A070399</w:t>
            </w: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件</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9000</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0.01</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90.00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90.00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救灾物资购置经费</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1130.86</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公共厕所服务</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C160103</w:t>
            </w: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个</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42</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0.80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33.60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33.60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廊坊市粮油质量检测中心实验室建设资金</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560.00</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房屋工程总承包服务</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C100701</w:t>
            </w: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项</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487.00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487.00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487.00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廊坊市委、市政府优化营商环境工作专班经费</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100.00</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其他服务</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C99</w:t>
            </w: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个</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65.00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65.00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65.00</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4"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廊坊市政府门户网运行维护经费</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130.00</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其他运行维护服务</w:t>
            </w:r>
          </w:p>
        </w:tc>
        <w:tc>
          <w:tcPr>
            <w:tcW w:w="1531" w:type="dxa"/>
            <w:shd w:val="clear" w:color="auto" w:fill="auto"/>
            <w:noWrap w:val="0"/>
            <w:vAlign w:val="center"/>
          </w:tcPr>
          <w:p>
            <w:pPr>
              <w:spacing w:line="300" w:lineRule="exact"/>
              <w:jc w:val="left"/>
              <w:rPr>
                <w:rFonts w:hint="eastAsia" w:ascii="仿宋" w:hAnsi="仿宋" w:eastAsia="仿宋" w:cs="仿宋"/>
                <w:b w:val="0"/>
                <w:bCs w:val="0"/>
              </w:rPr>
            </w:pPr>
            <w:r>
              <w:rPr>
                <w:rFonts w:hint="eastAsia" w:ascii="仿宋" w:hAnsi="仿宋" w:eastAsia="仿宋" w:cs="仿宋"/>
                <w:b w:val="0"/>
                <w:bCs w:val="0"/>
              </w:rPr>
              <w:t>C020699</w:t>
            </w:r>
          </w:p>
        </w:tc>
        <w:tc>
          <w:tcPr>
            <w:tcW w:w="709" w:type="dxa"/>
            <w:shd w:val="clear" w:color="auto" w:fill="auto"/>
            <w:noWrap w:val="0"/>
            <w:vAlign w:val="center"/>
          </w:tcPr>
          <w:p>
            <w:pPr>
              <w:spacing w:line="300" w:lineRule="exact"/>
              <w:jc w:val="center"/>
              <w:rPr>
                <w:rFonts w:hint="eastAsia" w:ascii="仿宋" w:hAnsi="仿宋" w:eastAsia="仿宋" w:cs="仿宋"/>
                <w:b w:val="0"/>
                <w:bCs w:val="0"/>
              </w:rPr>
            </w:pPr>
            <w:r>
              <w:rPr>
                <w:rFonts w:hint="eastAsia" w:ascii="仿宋" w:hAnsi="仿宋" w:eastAsia="仿宋" w:cs="仿宋"/>
                <w:b w:val="0"/>
                <w:bCs w:val="0"/>
              </w:rPr>
              <w:t>个</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w:t>
            </w:r>
          </w:p>
        </w:tc>
        <w:tc>
          <w:tcPr>
            <w:tcW w:w="907"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103.57</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103.57</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r>
              <w:rPr>
                <w:rFonts w:hint="eastAsia" w:ascii="仿宋" w:hAnsi="仿宋" w:eastAsia="仿宋" w:cs="仿宋"/>
                <w:b w:val="0"/>
                <w:bCs w:val="0"/>
              </w:rPr>
              <w:t>103.57</w:t>
            </w: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c>
          <w:tcPr>
            <w:tcW w:w="1134" w:type="dxa"/>
            <w:shd w:val="clear" w:color="auto" w:fill="auto"/>
            <w:noWrap w:val="0"/>
            <w:vAlign w:val="center"/>
          </w:tcPr>
          <w:p>
            <w:pPr>
              <w:spacing w:line="300" w:lineRule="exact"/>
              <w:jc w:val="right"/>
              <w:rPr>
                <w:rFonts w:hint="eastAsia" w:ascii="仿宋" w:hAnsi="仿宋" w:eastAsia="仿宋" w:cs="仿宋"/>
                <w:b w:val="0"/>
                <w:bCs w:val="0"/>
              </w:rPr>
            </w:pPr>
          </w:p>
        </w:tc>
      </w:tr>
    </w:tbl>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七、国有资产信息</w:t>
      </w:r>
    </w:p>
    <w:p>
      <w:pPr>
        <w:spacing w:line="584"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廊坊市发展和改革委员会</w:t>
      </w:r>
      <w:r>
        <w:rPr>
          <w:rFonts w:ascii="Times New Roman" w:hAnsi="Times New Roman" w:eastAsia="仿宋_GB2312" w:cs="Times New Roman"/>
          <w:sz w:val="32"/>
          <w:szCs w:val="32"/>
        </w:rPr>
        <w:t>（含所属单位）上年末固定资产金额为</w:t>
      </w:r>
      <w:r>
        <w:rPr>
          <w:rFonts w:hint="eastAsia" w:ascii="Times New Roman" w:hAnsi="Times New Roman" w:eastAsia="仿宋_GB2312" w:cs="Times New Roman"/>
          <w:color w:val="auto"/>
          <w:sz w:val="32"/>
          <w:szCs w:val="32"/>
          <w:lang w:val="en-US" w:eastAsia="zh-CN"/>
        </w:rPr>
        <w:t>3416.25</w:t>
      </w:r>
      <w:r>
        <w:rPr>
          <w:rFonts w:ascii="Times New Roman" w:hAnsi="Times New Roman" w:eastAsia="仿宋_GB2312" w:cs="Times New Roman"/>
          <w:color w:val="auto"/>
          <w:sz w:val="32"/>
          <w:szCs w:val="32"/>
        </w:rPr>
        <w:t>万</w:t>
      </w:r>
      <w:r>
        <w:rPr>
          <w:rFonts w:ascii="Times New Roman" w:hAnsi="Times New Roman" w:eastAsia="仿宋_GB2312" w:cs="Times New Roman"/>
          <w:sz w:val="32"/>
          <w:szCs w:val="32"/>
        </w:rPr>
        <w:t>元，本年度我部门拟购置固定资产</w:t>
      </w:r>
      <w:r>
        <w:rPr>
          <w:rFonts w:hint="eastAsia" w:ascii="Times New Roman" w:hAnsi="Times New Roman" w:eastAsia="仿宋_GB2312" w:cs="Times New Roman"/>
          <w:sz w:val="32"/>
          <w:szCs w:val="32"/>
        </w:rPr>
        <w:t>总额</w:t>
      </w:r>
      <w:r>
        <w:rPr>
          <w:rFonts w:hint="eastAsia" w:ascii="Times New Roman" w:hAnsi="Times New Roman" w:eastAsia="仿宋_GB2312" w:cs="Times New Roman"/>
          <w:color w:val="auto"/>
          <w:sz w:val="32"/>
          <w:szCs w:val="32"/>
        </w:rPr>
        <w:t>为</w:t>
      </w:r>
      <w:r>
        <w:rPr>
          <w:rFonts w:hint="eastAsia" w:ascii="Times New Roman" w:hAnsi="Times New Roman" w:eastAsia="仿宋_GB2312" w:cs="Times New Roman"/>
          <w:color w:val="auto"/>
          <w:sz w:val="32"/>
          <w:szCs w:val="32"/>
          <w:lang w:val="en-US" w:eastAsia="zh-CN"/>
        </w:rPr>
        <w:t>45.31</w:t>
      </w:r>
      <w:r>
        <w:rPr>
          <w:rFonts w:hint="eastAsia" w:ascii="Times New Roman" w:hAnsi="Times New Roman" w:eastAsia="仿宋_GB2312" w:cs="Times New Roman"/>
          <w:sz w:val="32"/>
          <w:szCs w:val="32"/>
        </w:rPr>
        <w:t>万元，</w:t>
      </w:r>
      <w:r>
        <w:rPr>
          <w:rFonts w:ascii="Times New Roman" w:hAnsi="Times New Roman" w:eastAsia="仿宋_GB2312" w:cs="Times New Roman"/>
          <w:sz w:val="32"/>
          <w:szCs w:val="32"/>
        </w:rPr>
        <w:t>主要为计算机设备、打印设备、空调等，已列入政府采购预算。详见下表。</w:t>
      </w:r>
    </w:p>
    <w:p>
      <w:pPr>
        <w:spacing w:line="584" w:lineRule="exact"/>
        <w:ind w:firstLine="640"/>
        <w:rPr>
          <w:rFonts w:ascii="Times New Roman" w:hAnsi="Times New Roman" w:eastAsia="仿宋_GB2312" w:cs="Times New Roman"/>
          <w:sz w:val="32"/>
          <w:szCs w:val="32"/>
        </w:rPr>
      </w:pPr>
    </w:p>
    <w:tbl>
      <w:tblPr>
        <w:tblStyle w:val="8"/>
        <w:tblW w:w="13482" w:type="dxa"/>
        <w:tblInd w:w="93" w:type="dxa"/>
        <w:tblLayout w:type="fixed"/>
        <w:tblCellMar>
          <w:top w:w="0" w:type="dxa"/>
          <w:left w:w="108" w:type="dxa"/>
          <w:bottom w:w="0" w:type="dxa"/>
          <w:right w:w="108" w:type="dxa"/>
        </w:tblCellMar>
      </w:tblPr>
      <w:tblGrid>
        <w:gridCol w:w="5224"/>
        <w:gridCol w:w="3155"/>
        <w:gridCol w:w="5103"/>
      </w:tblGrid>
      <w:tr>
        <w:tblPrEx>
          <w:tblLayout w:type="fixed"/>
          <w:tblCellMar>
            <w:top w:w="0" w:type="dxa"/>
            <w:left w:w="108" w:type="dxa"/>
            <w:bottom w:w="0" w:type="dxa"/>
            <w:right w:w="108" w:type="dxa"/>
          </w:tblCellMar>
        </w:tblPrEx>
        <w:trPr>
          <w:trHeight w:val="705" w:hRule="atLeast"/>
        </w:trPr>
        <w:tc>
          <w:tcPr>
            <w:tcW w:w="13482" w:type="dxa"/>
            <w:gridSpan w:val="3"/>
            <w:tcBorders>
              <w:top w:val="nil"/>
              <w:left w:val="nil"/>
              <w:bottom w:val="nil"/>
              <w:right w:val="nil"/>
            </w:tcBorders>
            <w:noWrap/>
            <w:vAlign w:val="center"/>
          </w:tcPr>
          <w:p>
            <w:pPr>
              <w:widowControl/>
              <w:spacing w:line="584" w:lineRule="exact"/>
              <w:jc w:val="center"/>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廊坊市市直部门固定资产占用情况表</w:t>
            </w:r>
          </w:p>
        </w:tc>
      </w:tr>
      <w:tr>
        <w:tblPrEx>
          <w:tblLayout w:type="fixed"/>
          <w:tblCellMar>
            <w:top w:w="0" w:type="dxa"/>
            <w:left w:w="108" w:type="dxa"/>
            <w:bottom w:w="0" w:type="dxa"/>
            <w:right w:w="108" w:type="dxa"/>
          </w:tblCellMar>
        </w:tblPrEx>
        <w:trPr>
          <w:trHeight w:val="510" w:hRule="atLeast"/>
        </w:trPr>
        <w:tc>
          <w:tcPr>
            <w:tcW w:w="8379" w:type="dxa"/>
            <w:gridSpan w:val="2"/>
            <w:tcBorders>
              <w:top w:val="nil"/>
              <w:left w:val="nil"/>
              <w:bottom w:val="nil"/>
              <w:right w:val="nil"/>
            </w:tcBorders>
            <w:noWrap/>
            <w:vAlign w:val="center"/>
          </w:tcPr>
          <w:p>
            <w:pPr>
              <w:widowControl/>
              <w:spacing w:line="584" w:lineRule="exact"/>
              <w:jc w:val="left"/>
              <w:rPr>
                <w:rFonts w:hint="eastAsia" w:ascii="Times New Roman" w:hAnsi="Times New Roman" w:eastAsia="仿宋_GB2312" w:cs="Times New Roman"/>
                <w:kern w:val="0"/>
                <w:sz w:val="22"/>
                <w:lang w:eastAsia="zh-CN"/>
              </w:rPr>
            </w:pPr>
            <w:r>
              <w:rPr>
                <w:rFonts w:ascii="Times New Roman" w:hAnsi="Times New Roman" w:eastAsia="仿宋_GB2312" w:cs="Times New Roman"/>
                <w:kern w:val="0"/>
                <w:sz w:val="22"/>
              </w:rPr>
              <w:t>编制部门：</w:t>
            </w:r>
            <w:r>
              <w:rPr>
                <w:rFonts w:hint="eastAsia" w:ascii="Times New Roman" w:hAnsi="Times New Roman" w:eastAsia="仿宋_GB2312" w:cs="Times New Roman"/>
                <w:kern w:val="0"/>
                <w:sz w:val="22"/>
                <w:lang w:eastAsia="zh-CN"/>
              </w:rPr>
              <w:t>廊坊市发展和改革委员会</w:t>
            </w:r>
          </w:p>
        </w:tc>
        <w:tc>
          <w:tcPr>
            <w:tcW w:w="5103" w:type="dxa"/>
            <w:tcBorders>
              <w:top w:val="nil"/>
              <w:left w:val="nil"/>
              <w:bottom w:val="nil"/>
              <w:right w:val="nil"/>
            </w:tcBorders>
            <w:noWrap/>
            <w:vAlign w:val="center"/>
          </w:tcPr>
          <w:p>
            <w:pPr>
              <w:widowControl/>
              <w:spacing w:line="584" w:lineRule="exact"/>
              <w:jc w:val="left"/>
              <w:rPr>
                <w:rFonts w:ascii="Times New Roman" w:hAnsi="Times New Roman" w:eastAsia="仿宋_GB2312" w:cs="Times New Roman"/>
                <w:kern w:val="0"/>
                <w:sz w:val="22"/>
              </w:rPr>
            </w:pPr>
            <w:r>
              <w:rPr>
                <w:rFonts w:hint="eastAsia" w:ascii="Times New Roman" w:hAnsi="Times New Roman" w:eastAsia="仿宋_GB2312" w:cs="Times New Roman"/>
                <w:kern w:val="0"/>
                <w:sz w:val="22"/>
              </w:rPr>
              <w:t xml:space="preserve">              </w:t>
            </w:r>
            <w:r>
              <w:rPr>
                <w:rFonts w:ascii="Times New Roman" w:hAnsi="Times New Roman" w:eastAsia="仿宋_GB2312" w:cs="Times New Roman"/>
                <w:kern w:val="0"/>
                <w:sz w:val="22"/>
              </w:rPr>
              <w:t>截止时间：20</w:t>
            </w:r>
            <w:r>
              <w:rPr>
                <w:rFonts w:hint="eastAsia" w:ascii="Times New Roman" w:hAnsi="Times New Roman" w:eastAsia="仿宋_GB2312" w:cs="Times New Roman"/>
                <w:kern w:val="0"/>
                <w:sz w:val="22"/>
                <w:lang w:val="en-US" w:eastAsia="zh-CN"/>
              </w:rPr>
              <w:t>20</w:t>
            </w:r>
            <w:r>
              <w:rPr>
                <w:rFonts w:ascii="Times New Roman" w:hAnsi="Times New Roman" w:eastAsia="仿宋_GB2312" w:cs="Times New Roman"/>
                <w:kern w:val="0"/>
                <w:sz w:val="22"/>
              </w:rPr>
              <w:t xml:space="preserve">年12月31日  </w:t>
            </w:r>
          </w:p>
        </w:tc>
      </w:tr>
      <w:tr>
        <w:tblPrEx>
          <w:tblLayout w:type="fixed"/>
          <w:tblCellMar>
            <w:top w:w="0" w:type="dxa"/>
            <w:left w:w="108" w:type="dxa"/>
            <w:bottom w:w="0" w:type="dxa"/>
            <w:right w:w="108" w:type="dxa"/>
          </w:tblCellMar>
        </w:tblPrEx>
        <w:trPr>
          <w:trHeight w:val="567" w:hRule="exact"/>
        </w:trPr>
        <w:tc>
          <w:tcPr>
            <w:tcW w:w="5224" w:type="dxa"/>
            <w:tcBorders>
              <w:top w:val="single" w:color="auto" w:sz="4" w:space="0"/>
              <w:left w:val="single" w:color="auto" w:sz="4" w:space="0"/>
              <w:bottom w:val="single" w:color="auto" w:sz="4" w:space="0"/>
              <w:right w:val="single" w:color="auto" w:sz="4" w:space="0"/>
            </w:tcBorders>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项   目</w:t>
            </w:r>
          </w:p>
        </w:tc>
        <w:tc>
          <w:tcPr>
            <w:tcW w:w="3155" w:type="dxa"/>
            <w:tcBorders>
              <w:top w:val="single" w:color="auto" w:sz="4" w:space="0"/>
              <w:left w:val="nil"/>
              <w:bottom w:val="single" w:color="auto" w:sz="4" w:space="0"/>
              <w:right w:val="single" w:color="auto" w:sz="4" w:space="0"/>
            </w:tcBorders>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数量</w:t>
            </w:r>
          </w:p>
        </w:tc>
        <w:tc>
          <w:tcPr>
            <w:tcW w:w="5103" w:type="dxa"/>
            <w:tcBorders>
              <w:top w:val="single" w:color="auto" w:sz="4" w:space="0"/>
              <w:left w:val="nil"/>
              <w:bottom w:val="single" w:color="auto" w:sz="4" w:space="0"/>
              <w:right w:val="single" w:color="auto" w:sz="4" w:space="0"/>
            </w:tcBorders>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价值（金额单位：万元）</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资产总额</w:t>
            </w:r>
          </w:p>
        </w:tc>
        <w:tc>
          <w:tcPr>
            <w:tcW w:w="3155" w:type="dxa"/>
            <w:tcBorders>
              <w:top w:val="nil"/>
              <w:left w:val="nil"/>
              <w:bottom w:val="single" w:color="auto" w:sz="4" w:space="0"/>
              <w:right w:val="single" w:color="auto" w:sz="4" w:space="0"/>
            </w:tcBorders>
            <w:noWrap/>
            <w:vAlign w:val="center"/>
          </w:tcPr>
          <w:p>
            <w:pPr>
              <w:spacing w:line="584" w:lineRule="exact"/>
              <w:jc w:val="center"/>
              <w:rPr>
                <w:rFonts w:ascii="Times New Roman" w:hAnsi="Times New Roman" w:eastAsia="仿宋_GB2312" w:cs="Times New Roman"/>
                <w:color w:val="auto"/>
                <w:sz w:val="22"/>
              </w:rPr>
            </w:pPr>
            <w:r>
              <w:rPr>
                <w:rFonts w:ascii="Times New Roman" w:hAnsi="Times New Roman" w:eastAsia="仿宋_GB2312" w:cs="Times New Roman"/>
                <w:color w:val="auto"/>
                <w:sz w:val="22"/>
              </w:rPr>
              <w:t>——</w:t>
            </w:r>
          </w:p>
        </w:tc>
        <w:tc>
          <w:tcPr>
            <w:tcW w:w="5103" w:type="dxa"/>
            <w:tcBorders>
              <w:top w:val="nil"/>
              <w:left w:val="nil"/>
              <w:bottom w:val="single" w:color="auto" w:sz="4" w:space="0"/>
              <w:right w:val="single" w:color="auto" w:sz="4" w:space="0"/>
            </w:tcBorders>
            <w:noWrap/>
            <w:vAlign w:val="center"/>
          </w:tcPr>
          <w:p>
            <w:pPr>
              <w:spacing w:line="584" w:lineRule="exact"/>
              <w:jc w:val="center"/>
              <w:rPr>
                <w:rFonts w:hint="default" w:ascii="Times New Roman" w:hAnsi="Times New Roman" w:eastAsia="仿宋_GB2312" w:cs="Times New Roman"/>
                <w:color w:val="auto"/>
                <w:sz w:val="22"/>
                <w:lang w:val="en-US" w:eastAsia="zh-CN"/>
              </w:rPr>
            </w:pPr>
            <w:r>
              <w:rPr>
                <w:rFonts w:hint="eastAsia" w:ascii="Times New Roman" w:hAnsi="Times New Roman" w:eastAsia="仿宋_GB2312" w:cs="Times New Roman"/>
                <w:color w:val="auto"/>
                <w:sz w:val="22"/>
                <w:lang w:val="en-US" w:eastAsia="zh-CN"/>
              </w:rPr>
              <w:t>3416.25</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1、房屋（平方米）</w:t>
            </w:r>
          </w:p>
        </w:tc>
        <w:tc>
          <w:tcPr>
            <w:tcW w:w="3155" w:type="dxa"/>
            <w:tcBorders>
              <w:top w:val="nil"/>
              <w:left w:val="nil"/>
              <w:bottom w:val="single" w:color="auto" w:sz="4" w:space="0"/>
              <w:right w:val="single" w:color="auto" w:sz="4" w:space="0"/>
            </w:tcBorders>
            <w:noWrap/>
            <w:vAlign w:val="center"/>
          </w:tcPr>
          <w:p>
            <w:pPr>
              <w:spacing w:line="584" w:lineRule="exact"/>
              <w:jc w:val="center"/>
              <w:rPr>
                <w:rFonts w:hint="default" w:ascii="Times New Roman" w:hAnsi="Times New Roman" w:eastAsia="仿宋_GB2312" w:cs="Times New Roman"/>
                <w:color w:val="auto"/>
                <w:kern w:val="2"/>
                <w:sz w:val="22"/>
                <w:szCs w:val="22"/>
                <w:lang w:val="en-US" w:eastAsia="zh-CN" w:bidi="ar-SA"/>
              </w:rPr>
            </w:pPr>
            <w:r>
              <w:rPr>
                <w:rFonts w:hint="eastAsia" w:ascii="Times New Roman" w:hAnsi="Times New Roman" w:eastAsia="仿宋_GB2312" w:cs="Times New Roman"/>
                <w:color w:val="auto"/>
                <w:kern w:val="2"/>
                <w:sz w:val="22"/>
                <w:szCs w:val="22"/>
                <w:lang w:val="en-US" w:eastAsia="zh-CN" w:bidi="ar-SA"/>
              </w:rPr>
              <w:t>14381.74</w:t>
            </w:r>
          </w:p>
        </w:tc>
        <w:tc>
          <w:tcPr>
            <w:tcW w:w="5103" w:type="dxa"/>
            <w:tcBorders>
              <w:top w:val="nil"/>
              <w:left w:val="nil"/>
              <w:bottom w:val="single" w:color="auto" w:sz="4" w:space="0"/>
              <w:right w:val="single" w:color="auto" w:sz="4" w:space="0"/>
            </w:tcBorders>
            <w:noWrap/>
            <w:vAlign w:val="center"/>
          </w:tcPr>
          <w:p>
            <w:pPr>
              <w:spacing w:line="584" w:lineRule="exact"/>
              <w:jc w:val="center"/>
              <w:rPr>
                <w:rFonts w:hint="default" w:ascii="Times New Roman" w:hAnsi="Times New Roman" w:eastAsia="仿宋_GB2312" w:cs="Times New Roman"/>
                <w:color w:val="auto"/>
                <w:kern w:val="2"/>
                <w:sz w:val="22"/>
                <w:szCs w:val="22"/>
                <w:lang w:val="en-US" w:eastAsia="zh-CN" w:bidi="ar-SA"/>
              </w:rPr>
            </w:pPr>
            <w:r>
              <w:rPr>
                <w:rFonts w:hint="eastAsia" w:ascii="Times New Roman" w:hAnsi="Times New Roman" w:eastAsia="仿宋_GB2312" w:cs="Times New Roman"/>
                <w:color w:val="auto"/>
                <w:kern w:val="2"/>
                <w:sz w:val="22"/>
                <w:szCs w:val="22"/>
                <w:lang w:val="en-US" w:eastAsia="zh-CN" w:bidi="ar-SA"/>
              </w:rPr>
              <w:t>1399.24</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其中：办公用房（平方米）</w:t>
            </w:r>
          </w:p>
        </w:tc>
        <w:tc>
          <w:tcPr>
            <w:tcW w:w="3155" w:type="dxa"/>
            <w:tcBorders>
              <w:top w:val="nil"/>
              <w:left w:val="nil"/>
              <w:bottom w:val="single" w:color="auto" w:sz="4" w:space="0"/>
              <w:right w:val="single" w:color="auto" w:sz="4" w:space="0"/>
            </w:tcBorders>
            <w:noWrap/>
            <w:vAlign w:val="center"/>
          </w:tcPr>
          <w:p>
            <w:pPr>
              <w:spacing w:line="584" w:lineRule="exact"/>
              <w:jc w:val="center"/>
              <w:rPr>
                <w:rFonts w:hint="default" w:ascii="Times New Roman" w:hAnsi="Times New Roman" w:eastAsia="仿宋_GB2312" w:cs="Times New Roman"/>
                <w:color w:val="auto"/>
                <w:kern w:val="2"/>
                <w:sz w:val="22"/>
                <w:szCs w:val="22"/>
                <w:lang w:val="en-US" w:eastAsia="zh-CN" w:bidi="ar-SA"/>
              </w:rPr>
            </w:pPr>
            <w:r>
              <w:rPr>
                <w:rFonts w:hint="eastAsia" w:ascii="Times New Roman" w:hAnsi="Times New Roman" w:eastAsia="仿宋_GB2312" w:cs="Times New Roman"/>
                <w:color w:val="auto"/>
                <w:kern w:val="2"/>
                <w:sz w:val="22"/>
                <w:szCs w:val="22"/>
                <w:lang w:val="en-US" w:eastAsia="zh-CN" w:bidi="ar-SA"/>
              </w:rPr>
              <w:t>14381.74</w:t>
            </w:r>
          </w:p>
        </w:tc>
        <w:tc>
          <w:tcPr>
            <w:tcW w:w="5103" w:type="dxa"/>
            <w:tcBorders>
              <w:top w:val="nil"/>
              <w:left w:val="nil"/>
              <w:bottom w:val="single" w:color="auto" w:sz="4" w:space="0"/>
              <w:right w:val="single" w:color="auto" w:sz="4" w:space="0"/>
            </w:tcBorders>
            <w:noWrap/>
            <w:vAlign w:val="center"/>
          </w:tcPr>
          <w:p>
            <w:pPr>
              <w:spacing w:line="584" w:lineRule="exact"/>
              <w:jc w:val="center"/>
              <w:rPr>
                <w:rFonts w:hint="default" w:ascii="Times New Roman" w:hAnsi="Times New Roman" w:eastAsia="仿宋_GB2312" w:cs="Times New Roman"/>
                <w:color w:val="auto"/>
                <w:kern w:val="2"/>
                <w:sz w:val="22"/>
                <w:szCs w:val="22"/>
                <w:lang w:val="en-US" w:eastAsia="zh-CN" w:bidi="ar-SA"/>
              </w:rPr>
            </w:pPr>
            <w:r>
              <w:rPr>
                <w:rFonts w:hint="eastAsia" w:ascii="Times New Roman" w:hAnsi="Times New Roman" w:eastAsia="仿宋_GB2312" w:cs="Times New Roman"/>
                <w:color w:val="auto"/>
                <w:kern w:val="2"/>
                <w:sz w:val="22"/>
                <w:szCs w:val="22"/>
                <w:lang w:val="en-US" w:eastAsia="zh-CN" w:bidi="ar-SA"/>
              </w:rPr>
              <w:t>1399.24</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2、车辆（台、辆）</w:t>
            </w:r>
          </w:p>
        </w:tc>
        <w:tc>
          <w:tcPr>
            <w:tcW w:w="3155" w:type="dxa"/>
            <w:tcBorders>
              <w:top w:val="nil"/>
              <w:left w:val="nil"/>
              <w:bottom w:val="single" w:color="auto" w:sz="4" w:space="0"/>
              <w:right w:val="single" w:color="auto" w:sz="4" w:space="0"/>
            </w:tcBorders>
            <w:noWrap/>
            <w:vAlign w:val="center"/>
          </w:tcPr>
          <w:p>
            <w:pPr>
              <w:spacing w:line="584" w:lineRule="exact"/>
              <w:jc w:val="center"/>
              <w:rPr>
                <w:rFonts w:hint="default" w:ascii="Times New Roman" w:hAnsi="Times New Roman" w:eastAsia="仿宋_GB2312" w:cs="Times New Roman"/>
                <w:color w:val="auto"/>
                <w:kern w:val="2"/>
                <w:sz w:val="22"/>
                <w:szCs w:val="22"/>
                <w:lang w:val="en-US" w:eastAsia="zh-CN" w:bidi="ar-SA"/>
              </w:rPr>
            </w:pPr>
            <w:r>
              <w:rPr>
                <w:rFonts w:hint="eastAsia" w:ascii="Times New Roman" w:hAnsi="Times New Roman" w:eastAsia="仿宋_GB2312" w:cs="Times New Roman"/>
                <w:color w:val="auto"/>
                <w:kern w:val="2"/>
                <w:sz w:val="22"/>
                <w:szCs w:val="22"/>
                <w:lang w:val="en-US" w:eastAsia="zh-CN" w:bidi="ar-SA"/>
              </w:rPr>
              <w:t>18</w:t>
            </w:r>
          </w:p>
        </w:tc>
        <w:tc>
          <w:tcPr>
            <w:tcW w:w="5103" w:type="dxa"/>
            <w:tcBorders>
              <w:top w:val="nil"/>
              <w:left w:val="nil"/>
              <w:bottom w:val="single" w:color="auto" w:sz="4" w:space="0"/>
              <w:right w:val="single" w:color="auto" w:sz="4" w:space="0"/>
            </w:tcBorders>
            <w:noWrap/>
            <w:vAlign w:val="center"/>
          </w:tcPr>
          <w:p>
            <w:pPr>
              <w:spacing w:line="584" w:lineRule="exact"/>
              <w:jc w:val="center"/>
              <w:rPr>
                <w:rFonts w:hint="default" w:ascii="Times New Roman" w:hAnsi="Times New Roman" w:eastAsia="仿宋_GB2312" w:cs="Times New Roman"/>
                <w:color w:val="auto"/>
                <w:kern w:val="2"/>
                <w:sz w:val="22"/>
                <w:szCs w:val="22"/>
                <w:lang w:val="en-US" w:eastAsia="zh-CN" w:bidi="ar-SA"/>
              </w:rPr>
            </w:pPr>
            <w:r>
              <w:rPr>
                <w:rFonts w:hint="eastAsia" w:ascii="Times New Roman" w:hAnsi="Times New Roman" w:eastAsia="仿宋_GB2312" w:cs="Times New Roman"/>
                <w:color w:val="auto"/>
                <w:kern w:val="2"/>
                <w:sz w:val="22"/>
                <w:szCs w:val="22"/>
                <w:lang w:val="en-US" w:eastAsia="zh-CN" w:bidi="ar-SA"/>
              </w:rPr>
              <w:t>378.17</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noWrap w:val="0"/>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3、单价在20万元以上的设备</w:t>
            </w:r>
          </w:p>
        </w:tc>
        <w:tc>
          <w:tcPr>
            <w:tcW w:w="3155" w:type="dxa"/>
            <w:tcBorders>
              <w:top w:val="nil"/>
              <w:left w:val="nil"/>
              <w:bottom w:val="single" w:color="auto" w:sz="4" w:space="0"/>
              <w:right w:val="single" w:color="auto" w:sz="4" w:space="0"/>
            </w:tcBorders>
            <w:noWrap/>
            <w:vAlign w:val="center"/>
          </w:tcPr>
          <w:p>
            <w:pPr>
              <w:spacing w:line="584" w:lineRule="exact"/>
              <w:jc w:val="center"/>
              <w:rPr>
                <w:rFonts w:ascii="Times New Roman" w:hAnsi="Times New Roman" w:eastAsia="仿宋_GB2312" w:cs="Times New Roman"/>
                <w:color w:val="auto"/>
                <w:kern w:val="2"/>
                <w:sz w:val="22"/>
                <w:szCs w:val="22"/>
                <w:lang w:val="en-US" w:eastAsia="zh-CN" w:bidi="ar-SA"/>
              </w:rPr>
            </w:pPr>
          </w:p>
        </w:tc>
        <w:tc>
          <w:tcPr>
            <w:tcW w:w="5103" w:type="dxa"/>
            <w:tcBorders>
              <w:top w:val="nil"/>
              <w:left w:val="nil"/>
              <w:bottom w:val="single" w:color="auto" w:sz="4" w:space="0"/>
              <w:right w:val="single" w:color="auto" w:sz="4" w:space="0"/>
            </w:tcBorders>
            <w:noWrap/>
            <w:vAlign w:val="center"/>
          </w:tcPr>
          <w:p>
            <w:pPr>
              <w:spacing w:line="584" w:lineRule="exact"/>
              <w:jc w:val="center"/>
              <w:rPr>
                <w:rFonts w:ascii="Times New Roman" w:hAnsi="Times New Roman" w:eastAsia="仿宋_GB2312" w:cs="Times New Roman"/>
                <w:color w:val="auto"/>
                <w:kern w:val="2"/>
                <w:sz w:val="22"/>
                <w:szCs w:val="22"/>
                <w:lang w:val="en-US" w:eastAsia="zh-CN" w:bidi="ar-SA"/>
              </w:rPr>
            </w:pPr>
            <w:r>
              <w:rPr>
                <w:rFonts w:hint="eastAsia" w:ascii="Times New Roman" w:hAnsi="Times New Roman" w:eastAsia="仿宋_GB2312" w:cs="Times New Roman"/>
                <w:color w:val="auto"/>
                <w:kern w:val="2"/>
                <w:sz w:val="22"/>
                <w:szCs w:val="22"/>
                <w:lang w:val="en-US" w:eastAsia="zh-CN" w:bidi="ar-SA"/>
              </w:rPr>
              <w:t xml:space="preserve"> </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4、其他固定资产</w:t>
            </w:r>
          </w:p>
        </w:tc>
        <w:tc>
          <w:tcPr>
            <w:tcW w:w="3155" w:type="dxa"/>
            <w:tcBorders>
              <w:top w:val="nil"/>
              <w:left w:val="nil"/>
              <w:bottom w:val="single" w:color="auto" w:sz="4" w:space="0"/>
              <w:right w:val="single" w:color="auto" w:sz="4" w:space="0"/>
            </w:tcBorders>
            <w:noWrap/>
            <w:vAlign w:val="center"/>
          </w:tcPr>
          <w:p>
            <w:pPr>
              <w:spacing w:line="584" w:lineRule="exact"/>
              <w:jc w:val="center"/>
              <w:rPr>
                <w:rFonts w:ascii="Times New Roman" w:hAnsi="Times New Roman" w:eastAsia="仿宋_GB2312" w:cs="Times New Roman"/>
                <w:color w:val="auto"/>
                <w:kern w:val="2"/>
                <w:sz w:val="22"/>
                <w:szCs w:val="22"/>
                <w:lang w:val="en-US" w:eastAsia="zh-CN" w:bidi="ar-SA"/>
              </w:rPr>
            </w:pPr>
          </w:p>
        </w:tc>
        <w:tc>
          <w:tcPr>
            <w:tcW w:w="5103" w:type="dxa"/>
            <w:tcBorders>
              <w:top w:val="nil"/>
              <w:left w:val="nil"/>
              <w:bottom w:val="single" w:color="auto" w:sz="4" w:space="0"/>
              <w:right w:val="single" w:color="auto" w:sz="4" w:space="0"/>
            </w:tcBorders>
            <w:noWrap/>
            <w:vAlign w:val="center"/>
          </w:tcPr>
          <w:p>
            <w:pPr>
              <w:tabs>
                <w:tab w:val="center" w:pos="2503"/>
                <w:tab w:val="left" w:pos="3969"/>
              </w:tabs>
              <w:spacing w:line="584" w:lineRule="exact"/>
              <w:jc w:val="left"/>
              <w:rPr>
                <w:rFonts w:hint="default" w:ascii="Times New Roman" w:hAnsi="Times New Roman" w:eastAsia="仿宋_GB2312" w:cs="Times New Roman"/>
                <w:color w:val="auto"/>
                <w:kern w:val="2"/>
                <w:sz w:val="22"/>
                <w:szCs w:val="22"/>
                <w:lang w:val="en-US" w:eastAsia="zh-CN" w:bidi="ar-SA"/>
              </w:rPr>
            </w:pPr>
            <w:r>
              <w:rPr>
                <w:rFonts w:hint="eastAsia" w:ascii="Times New Roman" w:hAnsi="Times New Roman" w:eastAsia="仿宋_GB2312" w:cs="Times New Roman"/>
                <w:color w:val="auto"/>
                <w:kern w:val="2"/>
                <w:sz w:val="22"/>
                <w:szCs w:val="22"/>
                <w:lang w:val="en-US" w:eastAsia="zh-CN" w:bidi="ar-SA"/>
              </w:rPr>
              <w:tab/>
            </w:r>
            <w:r>
              <w:rPr>
                <w:rFonts w:hint="eastAsia" w:ascii="Times New Roman" w:hAnsi="Times New Roman" w:eastAsia="仿宋_GB2312" w:cs="Times New Roman"/>
                <w:color w:val="auto"/>
                <w:kern w:val="2"/>
                <w:sz w:val="22"/>
                <w:szCs w:val="22"/>
                <w:lang w:val="en-US" w:eastAsia="zh-CN" w:bidi="ar-SA"/>
              </w:rPr>
              <w:t>1638.84</w:t>
            </w:r>
            <w:r>
              <w:rPr>
                <w:rFonts w:hint="eastAsia" w:ascii="Times New Roman" w:hAnsi="Times New Roman" w:eastAsia="仿宋_GB2312" w:cs="Times New Roman"/>
                <w:color w:val="auto"/>
                <w:kern w:val="2"/>
                <w:sz w:val="22"/>
                <w:szCs w:val="22"/>
                <w:lang w:val="en-US" w:eastAsia="zh-CN" w:bidi="ar-SA"/>
              </w:rPr>
              <w:tab/>
            </w:r>
          </w:p>
        </w:tc>
      </w:tr>
    </w:tbl>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八、名词解释</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1、一般公共预算拨款收入：</w:t>
      </w:r>
      <w:r>
        <w:rPr>
          <w:rFonts w:ascii="Times New Roman" w:hAnsi="Times New Roman" w:eastAsia="仿宋_GB2312" w:cs="Times New Roman"/>
          <w:sz w:val="32"/>
          <w:szCs w:val="32"/>
        </w:rPr>
        <w:t>指省级财政当年拨付的资金。</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2、事业收入：</w:t>
      </w:r>
      <w:r>
        <w:rPr>
          <w:rFonts w:ascii="Times New Roman" w:hAnsi="Times New Roman" w:eastAsia="仿宋_GB2312" w:cs="Times New Roman"/>
          <w:sz w:val="32"/>
          <w:szCs w:val="32"/>
        </w:rPr>
        <w:t>指事业单位开展专业业务活动及辅助活动所取得的收入。</w:t>
      </w:r>
    </w:p>
    <w:p>
      <w:pPr>
        <w:tabs>
          <w:tab w:val="left" w:pos="11490"/>
        </w:tabs>
        <w:spacing w:line="584" w:lineRule="exact"/>
        <w:ind w:firstLine="643"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3、其他收入：</w:t>
      </w:r>
      <w:r>
        <w:rPr>
          <w:rFonts w:ascii="Times New Roman" w:hAnsi="Times New Roman" w:eastAsia="仿宋_GB2312" w:cs="Times New Roman"/>
          <w:sz w:val="32"/>
          <w:szCs w:val="32"/>
        </w:rPr>
        <w:t>指除“一般公共预算拨款收入”、“事业收入”等以外的收入。主要是按规定动用的租房收入、存款利息收入等。</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4、基本支出：</w:t>
      </w:r>
      <w:r>
        <w:rPr>
          <w:rFonts w:ascii="Times New Roman" w:hAnsi="Times New Roman" w:eastAsia="仿宋_GB2312" w:cs="Times New Roman"/>
          <w:sz w:val="32"/>
          <w:szCs w:val="32"/>
        </w:rPr>
        <w:t>指为保障机构正常运转、完成日常工作任务而发生的人员支出和公用支出。</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5、项目支出：</w:t>
      </w:r>
      <w:r>
        <w:rPr>
          <w:rFonts w:ascii="Times New Roman" w:hAnsi="Times New Roman" w:eastAsia="仿宋_GB2312" w:cs="Times New Roman"/>
          <w:sz w:val="32"/>
          <w:szCs w:val="32"/>
        </w:rPr>
        <w:t>指在基本支出之外为完成特定行政任务和事业发展目标所发生的支出。</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6、上缴上级支出：</w:t>
      </w:r>
      <w:r>
        <w:rPr>
          <w:rFonts w:ascii="Times New Roman" w:hAnsi="Times New Roman" w:eastAsia="仿宋_GB2312" w:cs="Times New Roman"/>
          <w:sz w:val="32"/>
          <w:szCs w:val="32"/>
        </w:rPr>
        <w:t>指下级单位上缴上级的支出。</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7、“三公”经费：</w:t>
      </w:r>
      <w:r>
        <w:rPr>
          <w:rFonts w:ascii="Times New Roman" w:hAnsi="Times New Roman" w:eastAsia="仿宋_GB2312" w:cs="Times New Roman"/>
          <w:sz w:val="32"/>
          <w:szCs w:val="32"/>
        </w:rPr>
        <w:t>纳入省级财政预算管理的“三公”经费，是指省级部门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8、机关运行费：</w:t>
      </w:r>
      <w:r>
        <w:rPr>
          <w:rFonts w:ascii="Times New Roman" w:hAnsi="Times New Roman" w:eastAsia="仿宋_GB2312" w:cs="Times New Roman"/>
          <w:sz w:val="32"/>
          <w:szCs w:val="32"/>
        </w:rPr>
        <w:t>为保障全部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9、上年结转：</w:t>
      </w:r>
      <w:r>
        <w:rPr>
          <w:rFonts w:ascii="Times New Roman" w:hAnsi="Times New Roman" w:eastAsia="仿宋_GB2312" w:cs="Times New Roman"/>
          <w:sz w:val="32"/>
          <w:szCs w:val="32"/>
        </w:rPr>
        <w:t>指以前年度尚未完成、结转到本年仍按原规定用途继续使用的资金。</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10、事业单位经营支出：</w:t>
      </w:r>
      <w:r>
        <w:rPr>
          <w:rFonts w:ascii="Times New Roman" w:hAnsi="Times New Roman" w:eastAsia="仿宋_GB2312" w:cs="Times New Roman"/>
          <w:sz w:val="32"/>
          <w:szCs w:val="32"/>
        </w:rPr>
        <w:t>指事业单位在专业业务活动及其辅助活动之外开展非独立核算经营活动发生的支出。</w:t>
      </w: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九、其他需要说明的事项</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我部门无其他需要说明的事项。</w:t>
      </w:r>
    </w:p>
    <w:sectPr>
      <w:footerReference r:id="rId4" w:type="default"/>
      <w:pgSz w:w="16838" w:h="11906" w:orient="landscape"/>
      <w:pgMar w:top="1800" w:right="1440" w:bottom="1800" w:left="144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Arial Unicode MS"/>
    <w:panose1 w:val="00000000000000000000"/>
    <w:charset w:val="86"/>
    <w:family w:val="script"/>
    <w:pitch w:val="default"/>
    <w:sig w:usb0="00000000" w:usb1="00000000" w:usb2="00000010" w:usb3="00000000" w:csb0="00040000" w:csb1="00000000"/>
  </w:font>
  <w:font w:name="方正书宋_GBK">
    <w:altName w:val="微软雅黑"/>
    <w:panose1 w:val="00000000000000000000"/>
    <w:charset w:val="86"/>
    <w:family w:val="script"/>
    <w:pitch w:val="default"/>
    <w:sig w:usb0="00000000" w:usb1="00000000" w:usb2="00000010" w:usb3="00000000" w:csb0="00040000" w:csb1="00000000"/>
  </w:font>
  <w:font w:name="方正小标宋_GBK">
    <w:altName w:val="Arial Unicode MS"/>
    <w:panose1 w:val="00000000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10"/>
      </w:rPr>
    </w:pPr>
    <w:r>
      <w:rPr>
        <w:rStyle w:val="10"/>
      </w:rPr>
      <w:fldChar w:fldCharType="begin"/>
    </w:r>
    <w:r>
      <w:rPr>
        <w:rStyle w:val="10"/>
      </w:rPr>
      <w:instrText xml:space="preserve"> PAGE </w:instrText>
    </w:r>
    <w:r>
      <w:rPr>
        <w:rStyle w:val="10"/>
      </w:rPr>
      <w:fldChar w:fldCharType="separate"/>
    </w:r>
    <w:r>
      <w:rPr>
        <w:rStyle w:val="10"/>
      </w:rPr>
      <w:t>5</w:t>
    </w:r>
    <w:r>
      <w:rPr>
        <w:rStyle w:val="10"/>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w:t>
    </w:r>
    <w:r>
      <w:fldChar w:fldCharType="begin"/>
    </w:r>
    <w:r>
      <w:instrText xml:space="preserve">PAGE   \* MERGEFORMAT</w:instrText>
    </w:r>
    <w:r>
      <w:fldChar w:fldCharType="separate"/>
    </w:r>
    <w:r>
      <w:rPr>
        <w:lang w:val="zh-CN"/>
      </w:rPr>
      <w:t>4</w:t>
    </w:r>
    <w:r>
      <w:rPr>
        <w:lang w:val="zh-CN"/>
      </w:rPr>
      <w:fldChar w:fldCharType="end"/>
    </w:r>
    <w:r>
      <w:rPr>
        <w:rFonts w:hint="eastAsia"/>
      </w:rPr>
      <w:t>-</w: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405709"/>
    <w:multiLevelType w:val="singleLevel"/>
    <w:tmpl w:val="CA405709"/>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2"/>
  </w:compat>
  <w:rsids>
    <w:rsidRoot w:val="00D347CC"/>
    <w:rsid w:val="004A54AA"/>
    <w:rsid w:val="00704496"/>
    <w:rsid w:val="00B80935"/>
    <w:rsid w:val="00D347CC"/>
    <w:rsid w:val="0DD5404C"/>
    <w:rsid w:val="0E2F6DD5"/>
    <w:rsid w:val="1407474D"/>
    <w:rsid w:val="16420E51"/>
    <w:rsid w:val="176028BE"/>
    <w:rsid w:val="215D530E"/>
    <w:rsid w:val="2862082C"/>
    <w:rsid w:val="318574FE"/>
    <w:rsid w:val="34D62E8D"/>
    <w:rsid w:val="354729E2"/>
    <w:rsid w:val="3D175015"/>
    <w:rsid w:val="3F1572AC"/>
    <w:rsid w:val="40290508"/>
    <w:rsid w:val="544026C1"/>
    <w:rsid w:val="54BB7226"/>
    <w:rsid w:val="552B53C1"/>
    <w:rsid w:val="649B7EC4"/>
    <w:rsid w:val="70943DDA"/>
    <w:rsid w:val="73746E20"/>
    <w:rsid w:val="744222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qFormat/>
    <w:uiPriority w:val="0"/>
    <w:pPr>
      <w:tabs>
        <w:tab w:val="center" w:pos="4153"/>
        <w:tab w:val="right" w:pos="8306"/>
      </w:tabs>
      <w:snapToGrid w:val="0"/>
      <w:jc w:val="left"/>
    </w:pPr>
    <w:rPr>
      <w:rFonts w:ascii="Times New Roman" w:hAnsi="Times New Roman" w:cs="Times New Roman"/>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5">
    <w:name w:val="toc 1"/>
    <w:basedOn w:val="1"/>
    <w:next w:val="1"/>
    <w:qFormat/>
    <w:uiPriority w:val="0"/>
    <w:rPr>
      <w:rFonts w:ascii="Times New Roman" w:hAnsi="Times New Roman" w:cs="Times New Roman"/>
      <w:szCs w:val="24"/>
    </w:rPr>
  </w:style>
  <w:style w:type="paragraph" w:styleId="6">
    <w:name w:val="footnote text"/>
    <w:basedOn w:val="1"/>
    <w:qFormat/>
    <w:uiPriority w:val="0"/>
    <w:pPr>
      <w:snapToGrid w:val="0"/>
      <w:jc w:val="left"/>
    </w:pPr>
    <w:rPr>
      <w:rFonts w:cs="Times New Roman"/>
      <w:sz w:val="18"/>
      <w:szCs w:val="18"/>
    </w:rPr>
  </w:style>
  <w:style w:type="paragraph" w:styleId="7">
    <w:name w:val="toc 2"/>
    <w:basedOn w:val="1"/>
    <w:next w:val="1"/>
    <w:qFormat/>
    <w:uiPriority w:val="0"/>
    <w:pPr>
      <w:ind w:left="200" w:leftChars="200"/>
    </w:pPr>
    <w:rPr>
      <w:rFonts w:ascii="Times New Roman" w:hAnsi="Times New Roman" w:cs="Times New Roman"/>
      <w:szCs w:val="24"/>
    </w:rPr>
  </w:style>
  <w:style w:type="character" w:styleId="10">
    <w:name w:val="page number"/>
    <w:semiHidden/>
    <w:unhideWhenUsed/>
    <w:qFormat/>
    <w:uiPriority w:val="99"/>
  </w:style>
  <w:style w:type="character" w:styleId="11">
    <w:name w:val="footnote reference"/>
    <w:qFormat/>
    <w:uiPriority w:val="0"/>
    <w:rPr>
      <w:vertAlign w:val="superscript"/>
    </w:rPr>
  </w:style>
  <w:style w:type="paragraph" w:customStyle="1" w:styleId="1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492</Words>
  <Characters>2808</Characters>
  <Lines>23</Lines>
  <Paragraphs>6</Paragraphs>
  <TotalTime>5</TotalTime>
  <ScaleCrop>false</ScaleCrop>
  <LinksUpToDate>false</LinksUpToDate>
  <CharactersWithSpaces>3294</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2020-01-13T03:27:00Z</dcterms:created>
  <dc:creator>guest</dc:creator>
  <cp:lastModifiedBy>风雨</cp:lastModifiedBy>
  <cp:lastPrinted>2018-01-30T06:12:00Z</cp:lastPrinted>
  <dcterms:modified xsi:type="dcterms:W3CDTF">2021-03-09T08:41:25Z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ies>
</file>