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880" w:firstLineChars="200"/>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廊坊市</w:t>
      </w:r>
      <w:r>
        <w:rPr>
          <w:rFonts w:hint="eastAsia" w:ascii="Times New Roman" w:hAnsi="Times New Roman" w:eastAsia="方正小标宋简体" w:cs="Times New Roman"/>
          <w:sz w:val="44"/>
          <w:szCs w:val="44"/>
          <w:lang w:val="en-US" w:eastAsia="zh-CN"/>
        </w:rPr>
        <w:t>发展和改革委员会</w:t>
      </w:r>
      <w:r>
        <w:rPr>
          <w:rFonts w:ascii="Times New Roman" w:hAnsi="Times New Roman" w:eastAsia="方正小标宋简体" w:cs="Times New Roman"/>
          <w:sz w:val="44"/>
          <w:szCs w:val="44"/>
        </w:rPr>
        <w:t>20</w:t>
      </w:r>
      <w:r>
        <w:rPr>
          <w:rFonts w:hint="eastAsia" w:ascii="Times New Roman" w:hAnsi="Times New Roman" w:eastAsia="方正小标宋简体" w:cs="Times New Roman"/>
          <w:sz w:val="44"/>
          <w:szCs w:val="44"/>
        </w:rPr>
        <w:t>2</w:t>
      </w:r>
      <w:r>
        <w:rPr>
          <w:rFonts w:ascii="Times New Roman" w:hAnsi="Times New Roman" w:eastAsia="方正小标宋简体" w:cs="Times New Roman"/>
          <w:sz w:val="44"/>
          <w:szCs w:val="44"/>
        </w:rPr>
        <w:t>2年部门预算信息公开</w:t>
      </w:r>
      <w:r>
        <w:rPr>
          <w:rFonts w:hint="eastAsia" w:ascii="Times New Roman" w:hAnsi="Times New Roman" w:eastAsia="方正小标宋简体" w:cs="Times New Roman"/>
          <w:sz w:val="44"/>
          <w:szCs w:val="44"/>
        </w:rPr>
        <w:t>情况说明</w:t>
      </w:r>
    </w:p>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按照《中华人民共和国预算法》、《中华人民共和国预算法实施条例》、《地方预决算公开操</w:t>
      </w:r>
      <w:bookmarkStart w:id="31" w:name="_GoBack"/>
      <w:bookmarkEnd w:id="31"/>
      <w:r>
        <w:rPr>
          <w:rFonts w:ascii="Times New Roman" w:hAnsi="Times New Roman" w:eastAsia="仿宋_GB2312" w:cs="Times New Roman"/>
          <w:sz w:val="32"/>
          <w:szCs w:val="32"/>
        </w:rPr>
        <w:t>作规程》和《河北省省级预算公开办法》规定，现将廊坊市</w:t>
      </w:r>
      <w:r>
        <w:rPr>
          <w:rFonts w:hint="eastAsia" w:ascii="Times New Roman" w:hAnsi="Times New Roman" w:eastAsia="仿宋_GB2312" w:cs="Times New Roman"/>
          <w:sz w:val="32"/>
          <w:szCs w:val="32"/>
          <w:lang w:val="en-US" w:eastAsia="zh-CN"/>
        </w:rPr>
        <w:t>发展和改革委员会</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2年部门预算公开如下：</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一、部门职责及机构设置情况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部门职责：</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根据《廊坊市发展和改革委员会职能配置、内设机构和人员编制规定》，廊坊市发展和改革委员会的主要职责是：</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根据《廊坊市发展和改革委员会职能配置、内设机构和人员编制规定》，廊坊市发展和改革委员会的主要职责是：</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一、拟订并组织实施全市国民经济和社会发展战略、中长期规划和年度计划。牵头组织统一规划体系建设。负责市级专项规划、区域规划、空间规划与上下级发展规划的统筹衔接。拟订规范性文件。</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二、提出加快建设全市现代化经济体系、推动高质量发展的总体目标、重大任务以及相关政策。组织开展重大战略规划、重大政策、重大工程等的评估督导，提出相关调整建议。</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贯彻落实国家宏观调控政策，统筹提出全市国民经济和社会发展主要目标，监测预测预警宏观经济和社会发展态势趋势，提出经济调节政策建议。综合协调经济调节政策，牵头研究应对措施。调节经济运行，协调解决经济运行中的重大问题。拟订并组织实施有关价格政策，组织拟订由市级管理的重要商品、服务价格和重要收费标准。参与贯彻落实国家财政政策、货币政策和土地政策。</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指导推进和综合协调经济体制改革有关工作，提出相关改革建议。牵头推进供给侧结构性改革。协调推进产权制度和要素市场化配置改革。落实国家完善基本经济制度政策，推进现代化市场体系建设，会同有关部门组织实施市场准入负面清单制度。牵头推进优化营商环境工作。</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提出全市利用外资和境外投资的战略、规划、总量平衡和结构优化政策。牵头推进实施全市“一带一路”建设有关工作。承担统筹协调走出去有关工作。会同有关部门贯彻落实国家外商投资准入负面清单。负责全市全口径外债的总量控制、结构优化和监测工作。</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负责全市投资综合管理。拟定全市固定资产投资总规模、结构调控目标和政策，按规定提出政府投资项目审批权限和修订政府核准的固定资产投资项目目录建议。安排市级预算内基本建设资金和有关发展性专项资金，按规定权限审批、审核项目，同时做好审批、审核、核准的监督管理工作。规划全市重点建设项目和生产力布局，组织推动重点建设项目。拟订并推动落实鼓励民间投资政策措施。</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推进落实区域协调发展战略、新型城镇化战略和重大政策，组织拟订相关区域规划和政策。按要求做好京津冀协同发展等区域发展战略的相关工作。统协调区域合作和对口支援工作。组织编制并推动实施新型城镇化规划。</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组织贯彻实施国家产业政策，拟订全市综合性产业政策。协调一二三产业发展重大问题并统筹衔接相关发展规划和重大政策。协调推进重大基设施建设发展，组织拟订并推动实施服务业及现代物流业战略规划和重大政策。综合研判消费变动趋势，拟订实施促进消费的综合性政策措施。</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推动实施全市创新驱动发展战略。会同相关部门拟订全市推进创新创业的规划和政策，提出创新发展和培育经济发展新动能的政策。会同相关部门规划布局市级重大科技基础设施。组织拟订并推动实施高技术产业和战略性新兴产业及数字经济发展规划政策，协调产业升级、重大技术装备推广应用等方面的重大问题。</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跟踪研判涉及经济安全、生态安全、资源安全、科技安全、社会安全等各类风险隐患，提出相关工作建议。协调落实重要工业品、原材料和重要农产品进出口调控措施。会同有关部门拟订全市储备物资品种目录、总体发展规划。</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负责全市社会发展与国民经济发展的政策衔接，协调有关重大问题。组织拟订社会发展战略、总体规划，统筹推进基本公共服务体系建设和收入分配制度改革，提出促进就业、完善社会保障与经济协调发展的政策建议。</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推进实施可持续发展战略，推动生态文明建设和改革，协调生态环境保护与修复、能源资源节约和综合利用等工作。提出健全生态保护补偿机制的政策措施，综合协调环保产业和清洁生产促进有关工作。组织实施全省下达的能源消费控制目标、任务。</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十三、组织拟订推进全市经济建设与国防建设协调发展的战略和规划，组推进经济建设项目贯彻国防要求。</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十四、承担市委财经委员会、市推进京津冀协同发展工作领导小组、市重点建设领导小组、市化解钢铁过剩产能工作领导小组、市服务支持雄安新区规划建设推进工作领导小组等有关具体工作。</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五、组织落实国家、省有关粮食流通和物资储备的法律、法规和政策拟订全市粮食流通、市级粮食储备和物资储备的政策和制度并组织实施。指导全市粮食流通和物资储备体制改革。落实国家粮食行业发展规划和政策，拟订全市粮食行业发展规划并组织实施。承担全市粮食流通宏观调控，落实国家粮食购销政策，负责粮食、食糖等物资管理工作，监测市内粮食、食糖等物资供求变化并预测预警。承担粮食安全责任制考核日常工作。研究提出市级粮食和物资储备规划、储备品种目录建议，组织实施市级粮食、食糖和救灾物资等物资的收储、轮换和日常管理，落实有关动用计划和指令。指导县级粮食和物资储备工作。负责贯彻落实国家粮食和物资储备仓储管理有关技术标准和规范。负责粮食流通、加工行业安全生产的监督管理，承担市级粮食、食糖和救灾物资等物资承储企业以及物资储备承储单位安全生产的监管责任。负责市粮食、食糖和救灾物资等物资储备基础设施建设和管理。拟订粮食流通设施建设规划并组织实施，管理有关储备基础设施和粮食流通设施投资项目。负责对市级粮食、食糖和救灾物资等物资储备的数量、质量和储存安全实施监督管理，对其他部门管理的物资储备进行监督指导。负责粮食流通监督检查，负责粮食收购、储存、运输环节粮食质量安全和原粮卫生的监督管理，组织实施全市粮食库存检查工作。贯彻国家粮食流通和物资储备有关标准、粮食质量标准和有关技术规范并监督执行。开展全市粮食和物资储备的对外合作与交流</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六、提出能源发展战略的建议，拟订能源发展规划、产业政策和年度指导计划并组织实施。推进能源体制改革，拟订有关改革方案并组织实施。协调能源发展和改革中重大问题。组织实施煤炭、石油、天然气、电力、新能源和可再生能源等能源，以及炼油、煤制燃料和生物质液体等燃料的产业政策和相关标准。按照规定权限，负责审批、审核市规划内和年度计划规模内能源固定资产投资项目，同时做好审批、核准、审核的监督管理。指导协调农村能源发展工作。组织推进能源重大设备研发，指导能源科技进步、成套设备的引进消化创新，组织协调相关示范工程和推广应用新产品、新技术、新设备。负责能源行业节能和资源综合利用。参与研究能源消费总量控制目标建议，指导、监督能源消费总量控制有关工作，街接能源生产建设和供需平衡。负责能源预测预警。发布能源信息，参与能源运行调节和应急保障。监管油气、新能源市场运行，规范能源市场秩序。监管油气管网设施的公平开放，参与电力市监管。参与组织推进能源国际合作。参与拟订与能源相关的资源、财税、环保及应对气候变化等政策，提出能源价格调整建议。</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十七、负责全市口岸规划、建设、开放和管理工作。</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十八、完成市委、市政府交办的其他任务。</w:t>
      </w:r>
    </w:p>
    <w:p>
      <w:pPr>
        <w:spacing w:line="584" w:lineRule="exact"/>
        <w:ind w:firstLine="643" w:firstLineChars="200"/>
        <w:rPr>
          <w:rFonts w:ascii="Times New Roman" w:hAnsi="Times New Roman" w:eastAsia="楷体_GB2312" w:cs="Times New Roman"/>
          <w:b/>
          <w:sz w:val="32"/>
          <w:szCs w:val="32"/>
        </w:rPr>
      </w:pPr>
    </w:p>
    <w:p>
      <w:pPr>
        <w:spacing w:line="584" w:lineRule="exact"/>
        <w:ind w:firstLine="643"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机构设置：</w:t>
      </w:r>
    </w:p>
    <w:p>
      <w:pPr>
        <w:jc w:val="center"/>
        <w:outlineLvl w:val="0"/>
        <w:rPr>
          <w:rFonts w:ascii="仿宋" w:hAnsi="仿宋" w:eastAsia="仿宋"/>
          <w:b/>
          <w:sz w:val="32"/>
          <w:szCs w:val="32"/>
        </w:rPr>
      </w:pPr>
      <w:r>
        <w:rPr>
          <w:rFonts w:hint="eastAsia" w:ascii="仿宋" w:hAnsi="仿宋" w:eastAsia="仿宋"/>
          <w:b/>
          <w:sz w:val="32"/>
          <w:szCs w:val="32"/>
        </w:rPr>
        <w:t>单位机构设置情况</w:t>
      </w:r>
    </w:p>
    <w:tbl>
      <w:tblPr>
        <w:tblStyle w:val="8"/>
        <w:tblW w:w="9692" w:type="dxa"/>
        <w:jc w:val="center"/>
        <w:tblInd w:w="82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767"/>
        <w:gridCol w:w="1571"/>
        <w:gridCol w:w="1869"/>
        <w:gridCol w:w="248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00" w:hRule="atLeast"/>
          <w:tblHeader/>
          <w:jc w:val="center"/>
        </w:trPr>
        <w:tc>
          <w:tcPr>
            <w:tcW w:w="3767" w:type="dxa"/>
            <w:vMerge w:val="restart"/>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单位名称</w:t>
            </w:r>
          </w:p>
        </w:tc>
        <w:tc>
          <w:tcPr>
            <w:tcW w:w="1571" w:type="dxa"/>
            <w:vMerge w:val="restart"/>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单位性质</w:t>
            </w:r>
          </w:p>
        </w:tc>
        <w:tc>
          <w:tcPr>
            <w:tcW w:w="1869" w:type="dxa"/>
            <w:vMerge w:val="restart"/>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单位规格</w:t>
            </w:r>
          </w:p>
        </w:tc>
        <w:tc>
          <w:tcPr>
            <w:tcW w:w="2485" w:type="dxa"/>
            <w:vMerge w:val="restart"/>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00" w:hRule="atLeast"/>
          <w:tblHeader/>
          <w:jc w:val="center"/>
        </w:trPr>
        <w:tc>
          <w:tcPr>
            <w:tcW w:w="3767" w:type="dxa"/>
            <w:vMerge w:val="continue"/>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left"/>
              <w:outlineLvl w:val="0"/>
              <w:rPr>
                <w:rFonts w:ascii="仿宋" w:hAnsi="仿宋" w:eastAsia="仿宋"/>
                <w:sz w:val="32"/>
                <w:szCs w:val="32"/>
              </w:rPr>
            </w:pPr>
          </w:p>
        </w:tc>
        <w:tc>
          <w:tcPr>
            <w:tcW w:w="1571" w:type="dxa"/>
            <w:vMerge w:val="continue"/>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left"/>
              <w:outlineLvl w:val="0"/>
              <w:rPr>
                <w:rFonts w:ascii="仿宋" w:hAnsi="仿宋" w:eastAsia="仿宋"/>
                <w:sz w:val="32"/>
                <w:szCs w:val="32"/>
              </w:rPr>
            </w:pPr>
          </w:p>
        </w:tc>
        <w:tc>
          <w:tcPr>
            <w:tcW w:w="1869" w:type="dxa"/>
            <w:vMerge w:val="continue"/>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left"/>
              <w:outlineLvl w:val="0"/>
              <w:rPr>
                <w:rFonts w:ascii="仿宋" w:hAnsi="仿宋" w:eastAsia="仿宋"/>
                <w:sz w:val="32"/>
                <w:szCs w:val="32"/>
              </w:rPr>
            </w:pPr>
          </w:p>
        </w:tc>
        <w:tc>
          <w:tcPr>
            <w:tcW w:w="2485" w:type="dxa"/>
            <w:vMerge w:val="continue"/>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left"/>
              <w:outlineLvl w:val="0"/>
              <w:rPr>
                <w:rFonts w:ascii="仿宋" w:hAnsi="仿宋" w:eastAsia="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83" w:hRule="atLeast"/>
          <w:jc w:val="center"/>
        </w:trPr>
        <w:tc>
          <w:tcPr>
            <w:tcW w:w="3767" w:type="dxa"/>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廊坊市发展和改革委员</w:t>
            </w:r>
          </w:p>
        </w:tc>
        <w:tc>
          <w:tcPr>
            <w:tcW w:w="1571" w:type="dxa"/>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行政</w:t>
            </w:r>
          </w:p>
        </w:tc>
        <w:tc>
          <w:tcPr>
            <w:tcW w:w="1869" w:type="dxa"/>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正处级</w:t>
            </w:r>
          </w:p>
        </w:tc>
        <w:tc>
          <w:tcPr>
            <w:tcW w:w="2485" w:type="dxa"/>
            <w:tcBorders>
              <w:top w:val="single" w:color="000000" w:sz="6" w:space="0"/>
              <w:left w:val="single" w:color="000000" w:sz="6" w:space="0"/>
              <w:bottom w:val="single" w:color="000000" w:sz="6" w:space="0"/>
              <w:right w:val="single" w:color="000000" w:sz="6"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财政拨款</w:t>
            </w:r>
          </w:p>
        </w:tc>
      </w:tr>
    </w:tbl>
    <w:p>
      <w:pPr>
        <w:spacing w:line="584" w:lineRule="exact"/>
        <w:ind w:firstLine="640" w:firstLineChars="200"/>
        <w:rPr>
          <w:rFonts w:ascii="Times New Roman" w:hAnsi="Times New Roman" w:eastAsia="黑体" w:cs="Times New Roman"/>
          <w:sz w:val="32"/>
          <w:szCs w:val="32"/>
        </w:rPr>
      </w:pP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二、部门预算安排的总体情况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按照预算管理有关规定，目前我市部门预算的编制实行综合预算制度，即全部收入和支出都反映在预算中。</w:t>
      </w:r>
      <w:r>
        <w:rPr>
          <w:rFonts w:hint="eastAsia" w:ascii="仿宋" w:hAnsi="仿宋" w:eastAsia="仿宋" w:cs="Times New Roman"/>
          <w:sz w:val="32"/>
          <w:szCs w:val="32"/>
        </w:rPr>
        <w:t>廊坊市发展和改革委员会机关本</w:t>
      </w:r>
      <w:r>
        <w:rPr>
          <w:rFonts w:hint="eastAsia" w:ascii="仿宋" w:hAnsi="仿宋" w:eastAsia="仿宋" w:cs="Times New Roman"/>
          <w:sz w:val="32"/>
          <w:szCs w:val="32"/>
          <w:lang w:eastAsia="zh-CN"/>
        </w:rPr>
        <w:t>级</w:t>
      </w:r>
      <w:r>
        <w:rPr>
          <w:rFonts w:ascii="仿宋" w:hAnsi="仿宋" w:eastAsia="仿宋" w:cs="Times New Roman"/>
          <w:sz w:val="32"/>
          <w:szCs w:val="32"/>
        </w:rPr>
        <w:t>的收支包含在</w:t>
      </w:r>
      <w:r>
        <w:rPr>
          <w:rFonts w:hint="eastAsia" w:ascii="仿宋" w:hAnsi="仿宋" w:eastAsia="仿宋" w:cs="Times New Roman"/>
          <w:sz w:val="32"/>
          <w:szCs w:val="32"/>
        </w:rPr>
        <w:t>本级</w:t>
      </w:r>
      <w:r>
        <w:rPr>
          <w:rFonts w:ascii="仿宋" w:hAnsi="仿宋" w:eastAsia="仿宋" w:cs="Times New Roman"/>
          <w:sz w:val="32"/>
          <w:szCs w:val="32"/>
        </w:rPr>
        <w:t>预算中。</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1、收入说明</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反映本部门当年全部收入。20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2年预算收入</w:t>
      </w:r>
      <w:r>
        <w:rPr>
          <w:rFonts w:hint="eastAsia" w:ascii="Times New Roman" w:hAnsi="Times New Roman" w:eastAsia="仿宋_GB2312" w:cs="Times New Roman"/>
          <w:sz w:val="32"/>
          <w:szCs w:val="32"/>
          <w:lang w:val="en-US" w:eastAsia="zh-CN"/>
        </w:rPr>
        <w:t>57967.51</w:t>
      </w:r>
      <w:r>
        <w:rPr>
          <w:rFonts w:ascii="Times New Roman" w:hAnsi="Times New Roman" w:eastAsia="仿宋_GB2312" w:cs="Times New Roman"/>
          <w:sz w:val="32"/>
          <w:szCs w:val="32"/>
        </w:rPr>
        <w:t>万元，其中：一般公共预算收入</w:t>
      </w:r>
      <w:r>
        <w:rPr>
          <w:rFonts w:hint="eastAsia" w:ascii="Times New Roman" w:hAnsi="Times New Roman" w:eastAsia="仿宋_GB2312" w:cs="Times New Roman"/>
          <w:sz w:val="32"/>
          <w:szCs w:val="32"/>
          <w:lang w:val="en-US" w:eastAsia="zh-CN"/>
        </w:rPr>
        <w:t>12389.11</w:t>
      </w:r>
      <w:r>
        <w:rPr>
          <w:rFonts w:ascii="Times New Roman" w:hAnsi="Times New Roman" w:eastAsia="仿宋_GB2312" w:cs="Times New Roman"/>
          <w:sz w:val="32"/>
          <w:szCs w:val="32"/>
        </w:rPr>
        <w:t>万元，基金预算收入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万元，财政专户核拨收入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万元，其他来源收入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上年结转</w:t>
      </w:r>
      <w:r>
        <w:rPr>
          <w:rFonts w:hint="eastAsia" w:ascii="Times New Roman" w:hAnsi="Times New Roman" w:eastAsia="仿宋_GB2312" w:cs="Times New Roman"/>
          <w:sz w:val="32"/>
          <w:szCs w:val="32"/>
          <w:lang w:val="en-US" w:eastAsia="zh-CN"/>
        </w:rPr>
        <w:t>45578.40</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2、支出说明</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收支预算总表支出栏、基本支出表、项目支出表按经济分类和支出功能分类科目编制，反映廊坊市</w:t>
      </w:r>
      <w:r>
        <w:rPr>
          <w:rFonts w:hint="eastAsia" w:ascii="Times New Roman" w:hAnsi="Times New Roman" w:eastAsia="仿宋_GB2312" w:cs="Times New Roman"/>
          <w:sz w:val="32"/>
          <w:szCs w:val="32"/>
          <w:lang w:val="en-US" w:eastAsia="zh-CN"/>
        </w:rPr>
        <w:t>发展和改革委员会</w:t>
      </w:r>
      <w:r>
        <w:rPr>
          <w:rFonts w:ascii="Times New Roman" w:hAnsi="Times New Roman" w:eastAsia="仿宋_GB2312" w:cs="Times New Roman"/>
          <w:sz w:val="32"/>
          <w:szCs w:val="32"/>
        </w:rPr>
        <w:t>年度部门预算中支出预算的总体情况。20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2年支出预算</w:t>
      </w:r>
      <w:r>
        <w:rPr>
          <w:rFonts w:hint="eastAsia" w:ascii="Times New Roman" w:hAnsi="Times New Roman" w:eastAsia="仿宋_GB2312" w:cs="Times New Roman"/>
          <w:sz w:val="32"/>
          <w:szCs w:val="32"/>
          <w:lang w:val="en-US" w:eastAsia="zh-CN"/>
        </w:rPr>
        <w:t>57967.51</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5710.49</w:t>
      </w:r>
      <w:r>
        <w:rPr>
          <w:rFonts w:ascii="Times New Roman" w:hAnsi="Times New Roman" w:eastAsia="仿宋_GB2312" w:cs="Times New Roman"/>
          <w:sz w:val="32"/>
          <w:szCs w:val="32"/>
        </w:rPr>
        <w:t>万元，包括人员类项目经费</w:t>
      </w:r>
      <w:r>
        <w:rPr>
          <w:rFonts w:hint="eastAsia" w:ascii="Times New Roman" w:hAnsi="Times New Roman" w:eastAsia="仿宋_GB2312" w:cs="Times New Roman"/>
          <w:sz w:val="32"/>
          <w:szCs w:val="32"/>
          <w:lang w:val="en-US" w:eastAsia="zh-CN"/>
        </w:rPr>
        <w:t>5124.89</w:t>
      </w:r>
      <w:r>
        <w:rPr>
          <w:rFonts w:ascii="Times New Roman" w:hAnsi="Times New Roman" w:eastAsia="仿宋_GB2312" w:cs="Times New Roman"/>
          <w:sz w:val="32"/>
          <w:szCs w:val="32"/>
        </w:rPr>
        <w:t>万元和</w:t>
      </w:r>
      <w:r>
        <w:rPr>
          <w:rFonts w:hint="eastAsia" w:ascii="Times New Roman" w:hAnsi="Times New Roman" w:eastAsia="仿宋_GB2312" w:cs="Times New Roman"/>
          <w:sz w:val="32"/>
          <w:szCs w:val="32"/>
        </w:rPr>
        <w:t>运转类</w:t>
      </w:r>
      <w:r>
        <w:rPr>
          <w:rFonts w:ascii="Times New Roman" w:hAnsi="Times New Roman" w:eastAsia="仿宋_GB2312" w:cs="Times New Roman"/>
          <w:sz w:val="32"/>
          <w:szCs w:val="32"/>
        </w:rPr>
        <w:t>公用项目经费</w:t>
      </w:r>
      <w:r>
        <w:rPr>
          <w:rFonts w:hint="eastAsia" w:ascii="Times New Roman" w:hAnsi="Times New Roman" w:eastAsia="仿宋_GB2312" w:cs="Times New Roman"/>
          <w:sz w:val="32"/>
          <w:szCs w:val="32"/>
          <w:lang w:val="en-US" w:eastAsia="zh-CN"/>
        </w:rPr>
        <w:t>585.60</w:t>
      </w:r>
      <w:r>
        <w:rPr>
          <w:rFonts w:ascii="Times New Roman" w:hAnsi="Times New Roman" w:eastAsia="仿宋_GB2312" w:cs="Times New Roman"/>
          <w:sz w:val="32"/>
          <w:szCs w:val="32"/>
        </w:rPr>
        <w:t>万元；运转类其他及特定目标类项目支出</w:t>
      </w:r>
      <w:r>
        <w:rPr>
          <w:rFonts w:hint="eastAsia" w:ascii="Times New Roman" w:hAnsi="Times New Roman" w:eastAsia="仿宋_GB2312" w:cs="Times New Roman"/>
          <w:sz w:val="32"/>
          <w:szCs w:val="32"/>
          <w:lang w:val="en-US" w:eastAsia="zh-CN"/>
        </w:rPr>
        <w:t>52257.02</w:t>
      </w:r>
      <w:r>
        <w:rPr>
          <w:rFonts w:ascii="Times New Roman" w:hAnsi="Times New Roman" w:eastAsia="仿宋_GB2312" w:cs="Times New Roman"/>
          <w:sz w:val="32"/>
          <w:szCs w:val="32"/>
        </w:rPr>
        <w:t>万元，包括本级支出</w:t>
      </w:r>
      <w:r>
        <w:rPr>
          <w:rFonts w:ascii="Times New Roman" w:hAnsi="Times New Roman" w:eastAsia="仿宋_GB2312" w:cs="Times New Roman"/>
          <w:sz w:val="32"/>
          <w:szCs w:val="32"/>
          <w:highlight w:val="none"/>
        </w:rPr>
        <w:t>和对下补助支出，</w:t>
      </w:r>
      <w:r>
        <w:rPr>
          <w:rFonts w:hint="eastAsia" w:ascii="Times New Roman" w:hAnsi="Times New Roman" w:eastAsia="仿宋_GB2312" w:cs="Times New Roman"/>
          <w:sz w:val="32"/>
          <w:szCs w:val="32"/>
        </w:rPr>
        <w:t>主要为救灾物资购置经费</w:t>
      </w:r>
      <w:r>
        <w:rPr>
          <w:rFonts w:hint="eastAsia" w:ascii="Times New Roman" w:hAnsi="Times New Roman" w:eastAsia="仿宋_GB2312" w:cs="Times New Roman"/>
          <w:sz w:val="32"/>
          <w:szCs w:val="32"/>
          <w:lang w:eastAsia="zh-CN"/>
        </w:rPr>
        <w:t>、廊坊市重点项目专项资金、政府投资项目评估论证经费、</w:t>
      </w:r>
      <w:r>
        <w:rPr>
          <w:rFonts w:hint="eastAsia" w:ascii="Times New Roman" w:hAnsi="Times New Roman" w:eastAsia="仿宋_GB2312" w:cs="Times New Roman"/>
          <w:sz w:val="32"/>
          <w:szCs w:val="32"/>
        </w:rPr>
        <w:t>雄安新区至北京大兴国际机场快线（永清段）项目市级资金</w:t>
      </w:r>
      <w:r>
        <w:rPr>
          <w:rFonts w:hint="eastAsia" w:ascii="Times New Roman" w:hAnsi="Times New Roman" w:eastAsia="仿宋_GB2312" w:cs="Times New Roman"/>
          <w:sz w:val="32"/>
          <w:szCs w:val="32"/>
          <w:lang w:val="en-US" w:eastAsia="zh-CN"/>
        </w:rPr>
        <w:t>等。</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3、比上年增减情况</w:t>
      </w:r>
    </w:p>
    <w:p>
      <w:pPr>
        <w:spacing w:line="584"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2022年预算收支安排</w:t>
      </w:r>
      <w:r>
        <w:rPr>
          <w:rFonts w:hint="eastAsia" w:ascii="Times New Roman" w:hAnsi="Times New Roman" w:eastAsia="仿宋_GB2312" w:cs="Times New Roman"/>
          <w:sz w:val="32"/>
          <w:szCs w:val="32"/>
          <w:lang w:val="en-US" w:eastAsia="zh-CN"/>
        </w:rPr>
        <w:t>57967.51</w:t>
      </w:r>
      <w:r>
        <w:rPr>
          <w:rFonts w:hint="eastAsia" w:ascii="Times New Roman" w:hAnsi="Times New Roman" w:eastAsia="仿宋_GB2312" w:cs="Times New Roman"/>
          <w:sz w:val="32"/>
          <w:szCs w:val="32"/>
          <w:lang w:eastAsia="zh-CN"/>
        </w:rPr>
        <w:t>万元，较2021年预算增加</w:t>
      </w:r>
      <w:r>
        <w:rPr>
          <w:rFonts w:hint="eastAsia" w:ascii="Times New Roman" w:hAnsi="Times New Roman" w:eastAsia="仿宋_GB2312" w:cs="Times New Roman"/>
          <w:sz w:val="32"/>
          <w:szCs w:val="32"/>
          <w:lang w:val="en-US" w:eastAsia="zh-CN"/>
        </w:rPr>
        <w:t>47681.25</w:t>
      </w:r>
      <w:r>
        <w:rPr>
          <w:rFonts w:hint="eastAsia" w:ascii="Times New Roman" w:hAnsi="Times New Roman" w:eastAsia="仿宋_GB2312" w:cs="Times New Roman"/>
          <w:sz w:val="32"/>
          <w:szCs w:val="32"/>
          <w:lang w:eastAsia="zh-CN"/>
        </w:rPr>
        <w:t>万元，其中：基本支出增加</w:t>
      </w:r>
      <w:r>
        <w:rPr>
          <w:rFonts w:hint="eastAsia" w:ascii="Times New Roman" w:hAnsi="Times New Roman" w:eastAsia="仿宋_GB2312" w:cs="Times New Roman"/>
          <w:sz w:val="32"/>
          <w:szCs w:val="32"/>
          <w:lang w:val="en-US" w:eastAsia="zh-CN"/>
        </w:rPr>
        <w:t>307.21</w:t>
      </w:r>
      <w:r>
        <w:rPr>
          <w:rFonts w:hint="eastAsia" w:ascii="Times New Roman" w:hAnsi="Times New Roman" w:eastAsia="仿宋_GB2312" w:cs="Times New Roman"/>
          <w:sz w:val="32"/>
          <w:szCs w:val="32"/>
          <w:lang w:eastAsia="zh-CN"/>
        </w:rPr>
        <w:t>万元，主要为人员经费支出</w:t>
      </w:r>
      <w:r>
        <w:rPr>
          <w:rFonts w:hint="eastAsia" w:ascii="Times New Roman" w:hAnsi="Times New Roman" w:eastAsia="仿宋_GB2312" w:cs="Times New Roman"/>
          <w:sz w:val="32"/>
          <w:szCs w:val="32"/>
          <w:lang w:val="en-US" w:eastAsia="zh-CN"/>
        </w:rPr>
        <w:t>的增加</w:t>
      </w:r>
      <w:r>
        <w:rPr>
          <w:rFonts w:hint="eastAsia" w:ascii="Times New Roman" w:hAnsi="Times New Roman" w:eastAsia="仿宋_GB2312" w:cs="Times New Roman"/>
          <w:sz w:val="32"/>
          <w:szCs w:val="32"/>
          <w:lang w:eastAsia="zh-CN"/>
        </w:rPr>
        <w:t>；项目支出增</w:t>
      </w:r>
      <w:r>
        <w:rPr>
          <w:rFonts w:ascii="Times New Roman" w:hAnsi="Times New Roman" w:eastAsia="仿宋_GB2312" w:cs="Times New Roman"/>
          <w:sz w:val="32"/>
          <w:szCs w:val="32"/>
        </w:rPr>
        <w:t>加</w:t>
      </w:r>
      <w:r>
        <w:rPr>
          <w:rFonts w:hint="eastAsia" w:ascii="Times New Roman" w:hAnsi="Times New Roman" w:eastAsia="仿宋_GB2312" w:cs="Times New Roman"/>
          <w:sz w:val="32"/>
          <w:szCs w:val="32"/>
          <w:lang w:val="en-US" w:eastAsia="zh-CN"/>
        </w:rPr>
        <w:t>47374.04</w:t>
      </w:r>
      <w:r>
        <w:rPr>
          <w:rFonts w:ascii="Times New Roman" w:hAnsi="Times New Roman" w:eastAsia="仿宋_GB2312" w:cs="Times New Roman"/>
          <w:sz w:val="32"/>
          <w:szCs w:val="32"/>
        </w:rPr>
        <w:t>万元，主要为</w:t>
      </w:r>
      <w:r>
        <w:rPr>
          <w:rFonts w:hint="eastAsia" w:ascii="Times New Roman" w:hAnsi="Times New Roman" w:eastAsia="仿宋_GB2312" w:cs="Times New Roman"/>
          <w:sz w:val="32"/>
          <w:szCs w:val="32"/>
        </w:rPr>
        <w:t>雄安新区至北京大兴国际机场快线（永清段）项目市级资金</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迎峰度冬天然气应急保障资金项目</w:t>
      </w:r>
      <w:r>
        <w:rPr>
          <w:rFonts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等</w:t>
      </w:r>
      <w:r>
        <w:rPr>
          <w:rFonts w:ascii="Times New Roman" w:hAnsi="Times New Roman" w:eastAsia="仿宋_GB2312" w:cs="Times New Roman"/>
          <w:sz w:val="32"/>
          <w:szCs w:val="32"/>
        </w:rPr>
        <w:t>。</w:t>
      </w:r>
    </w:p>
    <w:p>
      <w:pPr>
        <w:autoSpaceDE w:val="0"/>
        <w:autoSpaceDN w:val="0"/>
        <w:adjustRightInd w:val="0"/>
        <w:spacing w:line="584" w:lineRule="exact"/>
        <w:ind w:left="198"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三、机关运行经费安排情况</w:t>
      </w:r>
    </w:p>
    <w:p>
      <w:pPr>
        <w:autoSpaceDE w:val="0"/>
        <w:autoSpaceDN w:val="0"/>
        <w:adjustRightInd w:val="0"/>
        <w:spacing w:line="584" w:lineRule="exact"/>
        <w:ind w:left="198"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2年，我局机关运行经费共计安排</w:t>
      </w:r>
      <w:r>
        <w:rPr>
          <w:rFonts w:hint="eastAsia" w:ascii="Times New Roman" w:hAnsi="Times New Roman" w:eastAsia="仿宋_GB2312" w:cs="Times New Roman"/>
          <w:sz w:val="32"/>
          <w:szCs w:val="32"/>
          <w:lang w:val="en-US" w:eastAsia="zh-CN"/>
        </w:rPr>
        <w:t>585.60</w:t>
      </w:r>
      <w:r>
        <w:rPr>
          <w:rFonts w:ascii="Times New Roman" w:hAnsi="Times New Roman" w:eastAsia="仿宋_GB2312" w:cs="Times New Roman"/>
          <w:sz w:val="32"/>
          <w:szCs w:val="32"/>
        </w:rPr>
        <w:t>万元，要用于</w:t>
      </w:r>
      <w:r>
        <w:rPr>
          <w:rFonts w:hint="eastAsia" w:ascii="Times New Roman" w:hAnsi="Times New Roman" w:eastAsia="仿宋_GB2312" w:cs="Times New Roman"/>
          <w:sz w:val="32"/>
          <w:szCs w:val="32"/>
          <w:lang w:eastAsia="zh-CN" w:bidi="ar-SA"/>
        </w:rPr>
        <w:t>我部门</w:t>
      </w:r>
      <w:r>
        <w:rPr>
          <w:rFonts w:ascii="Times New Roman" w:hAnsi="Times New Roman" w:eastAsia="仿宋_GB2312" w:cs="Times New Roman"/>
          <w:sz w:val="32"/>
          <w:szCs w:val="32"/>
        </w:rPr>
        <w:t>办公区的日常维修、办公用房水电费、办公用房取暖费、办公用房物业管理费等日常运行支出。</w:t>
      </w:r>
    </w:p>
    <w:p>
      <w:pPr>
        <w:autoSpaceDE w:val="0"/>
        <w:autoSpaceDN w:val="0"/>
        <w:adjustRightInd w:val="0"/>
        <w:spacing w:line="584" w:lineRule="exact"/>
        <w:ind w:firstLine="630" w:firstLineChars="196"/>
        <w:jc w:val="left"/>
        <w:rPr>
          <w:rFonts w:ascii="Times New Roman" w:hAnsi="Times New Roman" w:eastAsia="仿宋_GB2312" w:cs="Times New Roman"/>
          <w:b/>
          <w:sz w:val="32"/>
          <w:szCs w:val="32"/>
        </w:rPr>
      </w:pPr>
      <w:r>
        <w:rPr>
          <w:rFonts w:ascii="Times New Roman" w:hAnsi="Times New Roman" w:eastAsia="仿宋_GB2312" w:cs="Times New Roman"/>
          <w:b/>
          <w:sz w:val="32"/>
          <w:szCs w:val="32"/>
        </w:rPr>
        <w:t>四、财政拨款“三公”经费预算情况及增减变化原因</w:t>
      </w:r>
    </w:p>
    <w:p>
      <w:pPr>
        <w:autoSpaceDE w:val="0"/>
        <w:autoSpaceDN w:val="0"/>
        <w:adjustRightInd w:val="0"/>
        <w:spacing w:line="584" w:lineRule="exact"/>
        <w:ind w:left="197" w:leftChars="94"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2年，我局财政拨款“三公”经费预算安排</w:t>
      </w:r>
      <w:r>
        <w:rPr>
          <w:rFonts w:hint="eastAsia" w:ascii="Times New Roman" w:hAnsi="Times New Roman" w:eastAsia="仿宋_GB2312" w:cs="Times New Roman"/>
          <w:sz w:val="32"/>
          <w:szCs w:val="32"/>
          <w:lang w:val="en-US" w:eastAsia="zh-CN"/>
        </w:rPr>
        <w:t>46.33</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万元；公务用车购置及运维费</w:t>
      </w:r>
      <w:r>
        <w:rPr>
          <w:rFonts w:hint="eastAsia" w:ascii="Times New Roman" w:hAnsi="Times New Roman" w:eastAsia="仿宋_GB2312" w:cs="Times New Roman"/>
          <w:sz w:val="32"/>
          <w:szCs w:val="32"/>
          <w:lang w:val="en-US" w:eastAsia="zh-CN"/>
        </w:rPr>
        <w:t>41.92</w:t>
      </w:r>
      <w:r>
        <w:rPr>
          <w:rFonts w:ascii="Times New Roman" w:hAnsi="Times New Roman" w:eastAsia="仿宋_GB2312" w:cs="Times New Roman"/>
          <w:sz w:val="32"/>
          <w:szCs w:val="32"/>
        </w:rPr>
        <w:t>万元（其中：公务用车购置费为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万元，公务用车运维费</w:t>
      </w:r>
      <w:r>
        <w:rPr>
          <w:rFonts w:hint="eastAsia" w:ascii="Times New Roman" w:hAnsi="Times New Roman" w:eastAsia="仿宋_GB2312" w:cs="Times New Roman"/>
          <w:sz w:val="32"/>
          <w:szCs w:val="32"/>
          <w:lang w:val="en-US" w:eastAsia="zh-CN"/>
        </w:rPr>
        <w:t>41.92</w:t>
      </w:r>
      <w:r>
        <w:rPr>
          <w:rFonts w:ascii="Times New Roman" w:hAnsi="Times New Roman" w:eastAsia="仿宋_GB2312" w:cs="Times New Roman"/>
          <w:sz w:val="32"/>
          <w:szCs w:val="32"/>
        </w:rPr>
        <w:t>万元)；公务接待费</w:t>
      </w:r>
      <w:r>
        <w:rPr>
          <w:rFonts w:hint="eastAsia" w:ascii="Times New Roman" w:hAnsi="Times New Roman" w:eastAsia="仿宋_GB2312" w:cs="Times New Roman"/>
          <w:sz w:val="32"/>
          <w:szCs w:val="32"/>
          <w:lang w:val="en-US" w:eastAsia="zh-CN"/>
        </w:rPr>
        <w:t>4.41</w:t>
      </w:r>
      <w:r>
        <w:rPr>
          <w:rFonts w:ascii="Times New Roman" w:hAnsi="Times New Roman" w:eastAsia="仿宋_GB2312" w:cs="Times New Roman"/>
          <w:sz w:val="32"/>
          <w:szCs w:val="32"/>
        </w:rPr>
        <w:t>万元。与20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相比</w:t>
      </w:r>
      <w:r>
        <w:rPr>
          <w:rFonts w:ascii="Times New Roman" w:hAnsi="Times New Roman" w:eastAsia="仿宋_GB2312" w:cs="Times New Roman"/>
          <w:sz w:val="32"/>
          <w:szCs w:val="32"/>
        </w:rPr>
        <w:t>减</w:t>
      </w:r>
      <w:r>
        <w:rPr>
          <w:rFonts w:hint="eastAsia" w:ascii="Times New Roman" w:hAnsi="Times New Roman" w:eastAsia="仿宋_GB2312" w:cs="Times New Roman"/>
          <w:sz w:val="32"/>
          <w:szCs w:val="32"/>
        </w:rPr>
        <w:t>少</w:t>
      </w:r>
      <w:r>
        <w:rPr>
          <w:rFonts w:hint="eastAsia" w:ascii="Times New Roman" w:hAnsi="Times New Roman" w:eastAsia="仿宋_GB2312" w:cs="Times New Roman"/>
          <w:sz w:val="32"/>
          <w:szCs w:val="32"/>
          <w:lang w:val="en-US" w:eastAsia="zh-CN"/>
        </w:rPr>
        <w:t>17</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其中，</w:t>
      </w:r>
      <w:r>
        <w:rPr>
          <w:rFonts w:ascii="Times New Roman" w:hAnsi="Times New Roman" w:eastAsia="仿宋_GB2312" w:cs="Times New Roman"/>
          <w:sz w:val="32"/>
          <w:szCs w:val="32"/>
        </w:rPr>
        <w:t>公务用车购置及运维费减</w:t>
      </w:r>
      <w:r>
        <w:rPr>
          <w:rFonts w:hint="eastAsia" w:ascii="Times New Roman" w:hAnsi="Times New Roman" w:eastAsia="仿宋_GB2312" w:cs="Times New Roman"/>
          <w:sz w:val="32"/>
          <w:szCs w:val="32"/>
        </w:rPr>
        <w:t>少</w:t>
      </w:r>
      <w:r>
        <w:rPr>
          <w:rFonts w:hint="eastAsia" w:ascii="Times New Roman" w:hAnsi="Times New Roman" w:eastAsia="仿宋_GB2312" w:cs="Times New Roman"/>
          <w:sz w:val="32"/>
          <w:szCs w:val="32"/>
          <w:lang w:val="en-US" w:eastAsia="zh-CN"/>
        </w:rPr>
        <w:t>17</w:t>
      </w:r>
      <w:r>
        <w:rPr>
          <w:rFonts w:ascii="Times New Roman" w:hAnsi="Times New Roman" w:eastAsia="仿宋_GB2312" w:cs="Times New Roman"/>
          <w:sz w:val="32"/>
          <w:szCs w:val="32"/>
        </w:rPr>
        <w:t>万元（其中：公务用车购置费</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万元，公务用车运维费减</w:t>
      </w:r>
      <w:r>
        <w:rPr>
          <w:rFonts w:hint="eastAsia" w:ascii="Times New Roman" w:hAnsi="Times New Roman" w:eastAsia="仿宋_GB2312" w:cs="Times New Roman"/>
          <w:sz w:val="32"/>
          <w:szCs w:val="32"/>
        </w:rPr>
        <w:t>少</w:t>
      </w:r>
      <w:r>
        <w:rPr>
          <w:rFonts w:hint="eastAsia" w:ascii="Times New Roman" w:hAnsi="Times New Roman" w:eastAsia="仿宋_GB2312" w:cs="Times New Roman"/>
          <w:sz w:val="32"/>
          <w:szCs w:val="32"/>
          <w:lang w:val="en-US" w:eastAsia="zh-CN"/>
        </w:rPr>
        <w:t>17</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rPr>
        <w:t>我部门切实落实勤俭节约各项规定，压减公车运行经费支出</w:t>
      </w:r>
      <w:r>
        <w:rPr>
          <w:rFonts w:ascii="Times New Roman" w:hAnsi="Times New Roman" w:eastAsia="仿宋_GB2312" w:cs="Times New Roman"/>
          <w:sz w:val="32"/>
          <w:szCs w:val="32"/>
        </w:rPr>
        <w:t>；公务接待费</w:t>
      </w:r>
      <w:r>
        <w:rPr>
          <w:rFonts w:hint="eastAsia" w:ascii="Times New Roman" w:hAnsi="Times New Roman" w:eastAsia="仿宋_GB2312" w:cs="Times New Roman"/>
          <w:sz w:val="32"/>
          <w:szCs w:val="32"/>
          <w:lang w:val="en-US" w:eastAsia="zh-CN"/>
        </w:rPr>
        <w:t>4.41</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，与2021年相比持平，无增减变化。</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五、绩效预算信息</w:t>
      </w:r>
    </w:p>
    <w:p>
      <w:pPr>
        <w:spacing w:line="58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第一部分 部门整体绩效目标</w:t>
      </w:r>
    </w:p>
    <w:p>
      <w:pPr>
        <w:spacing w:line="584" w:lineRule="exact"/>
        <w:ind w:firstLine="643" w:firstLineChars="200"/>
        <w:rPr>
          <w:rFonts w:ascii="楷体_GB2312" w:eastAsia="楷体_GB2312" w:cs="Times New Roman"/>
          <w:b/>
          <w:sz w:val="32"/>
          <w:szCs w:val="32"/>
        </w:rPr>
      </w:pPr>
      <w:r>
        <w:rPr>
          <w:rFonts w:hint="eastAsia" w:ascii="楷体_GB2312" w:eastAsia="楷体_GB2312" w:cs="Times New Roman"/>
          <w:b/>
          <w:sz w:val="32"/>
          <w:szCs w:val="32"/>
        </w:rPr>
        <w:t>（一）总体绩效目标</w:t>
      </w:r>
    </w:p>
    <w:p>
      <w:pPr>
        <w:spacing w:before="235" w:line="324" w:lineRule="auto"/>
        <w:ind w:left="6" w:firstLine="688"/>
        <w:jc w:val="left"/>
        <w:rPr>
          <w:rFonts w:ascii="仿宋" w:hAnsi="仿宋" w:eastAsia="仿宋" w:cs="仿宋"/>
          <w:sz w:val="32"/>
          <w:szCs w:val="32"/>
        </w:rPr>
      </w:pPr>
      <w:r>
        <w:rPr>
          <w:rFonts w:ascii="仿宋" w:hAnsi="仿宋" w:eastAsia="仿宋" w:cs="仿宋"/>
          <w:spacing w:val="1"/>
          <w:sz w:val="32"/>
          <w:szCs w:val="32"/>
        </w:rPr>
        <w:t>以党中央、省委和市委关于发展改革工作的方针政策和决策</w:t>
      </w:r>
      <w:r>
        <w:rPr>
          <w:rFonts w:ascii="仿宋" w:hAnsi="仿宋" w:eastAsia="仿宋" w:cs="仿宋"/>
          <w:spacing w:val="49"/>
          <w:sz w:val="32"/>
          <w:szCs w:val="32"/>
        </w:rPr>
        <w:t xml:space="preserve"> </w:t>
      </w:r>
      <w:r>
        <w:rPr>
          <w:rFonts w:ascii="仿宋" w:hAnsi="仿宋" w:eastAsia="仿宋" w:cs="仿宋"/>
          <w:spacing w:val="-1"/>
          <w:sz w:val="32"/>
          <w:szCs w:val="32"/>
        </w:rPr>
        <w:t>部署，坚持和加强党对发展改革工作的集中统一领导，</w:t>
      </w:r>
      <w:r>
        <w:rPr>
          <w:rFonts w:ascii="Times New Roman" w:hAnsi="Times New Roman" w:eastAsia="Times New Roman" w:cs="Times New Roman"/>
          <w:spacing w:val="-1"/>
          <w:sz w:val="32"/>
          <w:szCs w:val="32"/>
        </w:rPr>
        <w:t>2022</w:t>
      </w:r>
      <w:r>
        <w:rPr>
          <w:rFonts w:ascii="Times New Roman" w:hAnsi="Times New Roman" w:eastAsia="Times New Roman" w:cs="Times New Roman"/>
          <w:spacing w:val="50"/>
          <w:sz w:val="32"/>
          <w:szCs w:val="32"/>
        </w:rPr>
        <w:t xml:space="preserve"> </w:t>
      </w:r>
      <w:r>
        <w:rPr>
          <w:rFonts w:ascii="仿宋" w:hAnsi="仿宋" w:eastAsia="仿宋" w:cs="仿宋"/>
          <w:spacing w:val="-1"/>
          <w:sz w:val="32"/>
          <w:szCs w:val="32"/>
        </w:rPr>
        <w:t>年市</w:t>
      </w:r>
      <w:r>
        <w:rPr>
          <w:rFonts w:ascii="仿宋" w:hAnsi="仿宋" w:eastAsia="仿宋" w:cs="仿宋"/>
          <w:spacing w:val="23"/>
          <w:sz w:val="32"/>
          <w:szCs w:val="32"/>
        </w:rPr>
        <w:t xml:space="preserve"> </w:t>
      </w:r>
      <w:r>
        <w:rPr>
          <w:rFonts w:ascii="仿宋" w:hAnsi="仿宋" w:eastAsia="仿宋" w:cs="仿宋"/>
          <w:spacing w:val="3"/>
          <w:sz w:val="32"/>
          <w:szCs w:val="32"/>
        </w:rPr>
        <w:t>发展和改革委员会总体发展规划目标是：制订并组织实施全市康</w:t>
      </w:r>
      <w:r>
        <w:rPr>
          <w:rFonts w:ascii="仿宋" w:hAnsi="仿宋" w:eastAsia="仿宋" w:cs="仿宋"/>
          <w:spacing w:val="39"/>
          <w:sz w:val="32"/>
          <w:szCs w:val="32"/>
        </w:rPr>
        <w:t xml:space="preserve"> </w:t>
      </w:r>
      <w:r>
        <w:rPr>
          <w:rFonts w:ascii="仿宋" w:hAnsi="仿宋" w:eastAsia="仿宋" w:cs="仿宋"/>
          <w:sz w:val="32"/>
          <w:szCs w:val="32"/>
        </w:rPr>
        <w:t>养产业发展、中长期规划和年度计划；</w:t>
      </w:r>
      <w:r>
        <w:rPr>
          <w:rFonts w:ascii="仿宋" w:hAnsi="仿宋" w:eastAsia="仿宋" w:cs="仿宋"/>
          <w:spacing w:val="-153"/>
          <w:sz w:val="32"/>
          <w:szCs w:val="32"/>
        </w:rPr>
        <w:t xml:space="preserve"> </w:t>
      </w:r>
      <w:r>
        <w:rPr>
          <w:rFonts w:ascii="仿宋" w:hAnsi="仿宋" w:eastAsia="仿宋" w:cs="仿宋"/>
          <w:sz w:val="32"/>
          <w:szCs w:val="32"/>
        </w:rPr>
        <w:t>完成</w:t>
      </w:r>
      <w:r>
        <w:rPr>
          <w:rFonts w:ascii="Times New Roman" w:hAnsi="Times New Roman" w:eastAsia="Times New Roman" w:cs="Times New Roman"/>
          <w:sz w:val="32"/>
          <w:szCs w:val="32"/>
        </w:rPr>
        <w:t>2022</w:t>
      </w:r>
      <w:r>
        <w:rPr>
          <w:rFonts w:ascii="仿宋" w:hAnsi="仿宋" w:eastAsia="仿宋" w:cs="仿宋"/>
          <w:sz w:val="32"/>
          <w:szCs w:val="32"/>
        </w:rPr>
        <w:t>年列入的全市省</w:t>
      </w:r>
      <w:r>
        <w:rPr>
          <w:rFonts w:ascii="仿宋" w:hAnsi="仿宋" w:eastAsia="仿宋" w:cs="仿宋"/>
          <w:spacing w:val="22"/>
          <w:sz w:val="32"/>
          <w:szCs w:val="32"/>
        </w:rPr>
        <w:t xml:space="preserve"> </w:t>
      </w:r>
      <w:r>
        <w:rPr>
          <w:rFonts w:ascii="仿宋" w:hAnsi="仿宋" w:eastAsia="仿宋" w:cs="仿宋"/>
          <w:spacing w:val="-8"/>
          <w:sz w:val="32"/>
          <w:szCs w:val="32"/>
        </w:rPr>
        <w:t>重点项目、市重点项目和亿元以上项目建设任务，加快企业节能技术升级改造，提高投资咨询评估的质量和效率；通过奖补鼓励燃气企业，提升全市采暖季期间气源保障能力，确保天然气安全稳定供</w:t>
      </w:r>
      <w:r>
        <w:rPr>
          <w:rFonts w:ascii="仿宋" w:hAnsi="仿宋" w:eastAsia="仿宋" w:cs="仿宋"/>
          <w:spacing w:val="-2"/>
          <w:sz w:val="32"/>
          <w:szCs w:val="32"/>
        </w:rPr>
        <w:t>应；</w:t>
      </w:r>
      <w:r>
        <w:rPr>
          <w:rFonts w:ascii="仿宋" w:hAnsi="仿宋" w:eastAsia="仿宋" w:cs="仿宋"/>
          <w:spacing w:val="-159"/>
          <w:sz w:val="32"/>
          <w:szCs w:val="32"/>
        </w:rPr>
        <w:t xml:space="preserve"> </w:t>
      </w:r>
      <w:r>
        <w:rPr>
          <w:rFonts w:ascii="仿宋" w:hAnsi="仿宋" w:eastAsia="仿宋" w:cs="仿宋"/>
          <w:spacing w:val="-2"/>
          <w:sz w:val="32"/>
          <w:szCs w:val="32"/>
        </w:rPr>
        <w:t>开展市级节能项目工作，推进全市产业结构调整和转型升级；</w:t>
      </w:r>
      <w:r>
        <w:rPr>
          <w:rFonts w:ascii="仿宋" w:hAnsi="仿宋" w:eastAsia="仿宋" w:cs="仿宋"/>
          <w:spacing w:val="-140"/>
          <w:sz w:val="32"/>
          <w:szCs w:val="32"/>
        </w:rPr>
        <w:t xml:space="preserve"> </w:t>
      </w:r>
      <w:r>
        <w:rPr>
          <w:rFonts w:ascii="仿宋" w:hAnsi="仿宋" w:eastAsia="仿宋" w:cs="仿宋"/>
          <w:spacing w:val="-8"/>
          <w:sz w:val="32"/>
          <w:szCs w:val="32"/>
        </w:rPr>
        <w:t>保障廊坊市人民政府网网站安全、稳定、有效的运行和根据政府需求进行功能的提升建设；开展物资储备管理，确保对受灾群众实施</w:t>
      </w:r>
      <w:r>
        <w:rPr>
          <w:rFonts w:ascii="仿宋" w:hAnsi="仿宋" w:eastAsia="仿宋" w:cs="仿宋"/>
          <w:spacing w:val="2"/>
          <w:sz w:val="32"/>
          <w:szCs w:val="32"/>
        </w:rPr>
        <w:t>紧急救助所需的救灾物资的日常储备及储备物资的质量安全；</w:t>
      </w:r>
      <w:r>
        <w:rPr>
          <w:rFonts w:ascii="仿宋" w:hAnsi="仿宋" w:eastAsia="仿宋" w:cs="仿宋"/>
          <w:spacing w:val="-116"/>
          <w:sz w:val="32"/>
          <w:szCs w:val="32"/>
        </w:rPr>
        <w:t xml:space="preserve"> </w:t>
      </w:r>
      <w:r>
        <w:rPr>
          <w:rFonts w:ascii="仿宋" w:hAnsi="仿宋" w:eastAsia="仿宋" w:cs="仿宋"/>
          <w:spacing w:val="2"/>
          <w:sz w:val="32"/>
          <w:szCs w:val="32"/>
        </w:rPr>
        <w:t>积</w:t>
      </w:r>
      <w:r>
        <w:rPr>
          <w:rFonts w:ascii="仿宋" w:hAnsi="仿宋" w:eastAsia="仿宋" w:cs="仿宋"/>
          <w:spacing w:val="-1"/>
          <w:sz w:val="32"/>
          <w:szCs w:val="32"/>
        </w:rPr>
        <w:t>极应对新冠疫情，</w:t>
      </w:r>
      <w:r>
        <w:rPr>
          <w:rFonts w:ascii="仿宋" w:hAnsi="仿宋" w:eastAsia="仿宋" w:cs="仿宋"/>
          <w:spacing w:val="-146"/>
          <w:sz w:val="32"/>
          <w:szCs w:val="32"/>
        </w:rPr>
        <w:t xml:space="preserve"> </w:t>
      </w:r>
      <w:r>
        <w:rPr>
          <w:rFonts w:ascii="仿宋" w:hAnsi="仿宋" w:eastAsia="仿宋" w:cs="仿宋"/>
          <w:spacing w:val="-1"/>
          <w:sz w:val="32"/>
          <w:szCs w:val="32"/>
        </w:rPr>
        <w:t>保障我市集中隔离医学观察点正常运行。</w:t>
      </w:r>
    </w:p>
    <w:p>
      <w:pPr>
        <w:spacing w:line="584" w:lineRule="exact"/>
        <w:ind w:firstLine="643" w:firstLineChars="200"/>
        <w:rPr>
          <w:rFonts w:ascii="楷体_GB2312" w:eastAsia="楷体_GB2312" w:cs="Times New Roman"/>
          <w:b/>
          <w:sz w:val="32"/>
          <w:szCs w:val="32"/>
        </w:rPr>
      </w:pPr>
      <w:r>
        <w:rPr>
          <w:rFonts w:hint="eastAsia" w:ascii="楷体_GB2312" w:eastAsia="楷体_GB2312" w:cs="Times New Roman"/>
          <w:b/>
          <w:sz w:val="32"/>
          <w:szCs w:val="32"/>
        </w:rPr>
        <w:t>（二）分项绩效目标</w:t>
      </w:r>
    </w:p>
    <w:p>
      <w:pPr>
        <w:spacing w:before="229" w:line="204" w:lineRule="auto"/>
        <w:ind w:firstLine="800"/>
        <w:jc w:val="left"/>
        <w:rPr>
          <w:rFonts w:ascii="楷体" w:hAnsi="楷体" w:eastAsia="楷体" w:cs="楷体"/>
          <w:sz w:val="32"/>
          <w:szCs w:val="32"/>
        </w:rPr>
      </w:pPr>
      <w:r>
        <w:rPr>
          <w:rFonts w:ascii="楷体" w:hAnsi="楷体" w:eastAsia="楷体" w:cs="楷体"/>
          <w:spacing w:val="-9"/>
          <w:sz w:val="32"/>
          <w:szCs w:val="32"/>
        </w:rPr>
        <w:t>（一）</w:t>
      </w:r>
      <w:r>
        <w:rPr>
          <w:rFonts w:ascii="楷体" w:hAnsi="楷体" w:eastAsia="楷体" w:cs="楷体"/>
          <w:spacing w:val="-139"/>
          <w:sz w:val="32"/>
          <w:szCs w:val="32"/>
        </w:rPr>
        <w:t xml:space="preserve"> </w:t>
      </w:r>
      <w:r>
        <w:rPr>
          <w:rFonts w:ascii="楷体" w:hAnsi="楷体" w:eastAsia="楷体" w:cs="楷体"/>
          <w:spacing w:val="-9"/>
          <w:sz w:val="32"/>
          <w:szCs w:val="32"/>
        </w:rPr>
        <w:t>组织编制经济社会发展规划和计划</w:t>
      </w:r>
    </w:p>
    <w:p>
      <w:pPr>
        <w:spacing w:before="233" w:line="260" w:lineRule="auto"/>
        <w:ind w:left="19" w:right="163" w:firstLine="643"/>
        <w:jc w:val="left"/>
        <w:rPr>
          <w:rFonts w:ascii="仿宋" w:hAnsi="仿宋" w:eastAsia="仿宋" w:cs="仿宋"/>
          <w:sz w:val="32"/>
          <w:szCs w:val="32"/>
        </w:rPr>
      </w:pPr>
      <w:r>
        <w:rPr>
          <w:rFonts w:ascii="仿宋" w:hAnsi="仿宋" w:eastAsia="仿宋" w:cs="仿宋"/>
          <w:spacing w:val="-9"/>
          <w:sz w:val="32"/>
          <w:szCs w:val="32"/>
        </w:rPr>
        <w:t>绩效目标：增强规划和计划的前瞻性、科学性、可操作性；规</w:t>
      </w:r>
      <w:r>
        <w:rPr>
          <w:rFonts w:ascii="仿宋" w:hAnsi="仿宋" w:eastAsia="仿宋" w:cs="仿宋"/>
          <w:spacing w:val="-134"/>
          <w:sz w:val="32"/>
          <w:szCs w:val="32"/>
        </w:rPr>
        <w:t xml:space="preserve"> </w:t>
      </w:r>
      <w:r>
        <w:rPr>
          <w:rFonts w:ascii="仿宋" w:hAnsi="仿宋" w:eastAsia="仿宋" w:cs="仿宋"/>
          <w:spacing w:val="-1"/>
          <w:sz w:val="32"/>
          <w:szCs w:val="32"/>
        </w:rPr>
        <w:t>划目标全面、先进、可行；组织落实措施得力，调度有序。</w:t>
      </w:r>
    </w:p>
    <w:p>
      <w:pPr>
        <w:spacing w:before="263" w:line="261" w:lineRule="auto"/>
        <w:ind w:right="161" w:firstLine="662"/>
        <w:jc w:val="left"/>
        <w:rPr>
          <w:rFonts w:ascii="仿宋" w:hAnsi="仿宋" w:eastAsia="仿宋" w:cs="仿宋"/>
          <w:sz w:val="32"/>
          <w:szCs w:val="32"/>
        </w:rPr>
      </w:pPr>
      <w:r>
        <w:rPr>
          <w:rFonts w:ascii="仿宋" w:hAnsi="仿宋" w:eastAsia="仿宋" w:cs="仿宋"/>
          <w:spacing w:val="-2"/>
          <w:sz w:val="32"/>
          <w:szCs w:val="32"/>
        </w:rPr>
        <w:t>绩效指标：市人大代表表决通过率不低于</w:t>
      </w:r>
      <w:r>
        <w:rPr>
          <w:rFonts w:ascii="仿宋" w:hAnsi="仿宋" w:eastAsia="仿宋" w:cs="仿宋"/>
          <w:spacing w:val="32"/>
          <w:sz w:val="32"/>
          <w:szCs w:val="32"/>
        </w:rPr>
        <w:t xml:space="preserve"> </w:t>
      </w:r>
      <w:r>
        <w:rPr>
          <w:rFonts w:ascii="Times New Roman" w:hAnsi="Times New Roman" w:eastAsia="Times New Roman" w:cs="Times New Roman"/>
          <w:spacing w:val="-2"/>
          <w:sz w:val="32"/>
          <w:szCs w:val="32"/>
        </w:rPr>
        <w:t>90%</w:t>
      </w:r>
      <w:r>
        <w:rPr>
          <w:rFonts w:ascii="仿宋" w:hAnsi="仿宋" w:eastAsia="仿宋" w:cs="仿宋"/>
          <w:spacing w:val="-2"/>
          <w:sz w:val="32"/>
          <w:szCs w:val="32"/>
        </w:rPr>
        <w:t>、指导县市区</w:t>
      </w:r>
      <w:r>
        <w:rPr>
          <w:rFonts w:ascii="仿宋" w:hAnsi="仿宋" w:eastAsia="仿宋" w:cs="仿宋"/>
          <w:spacing w:val="-140"/>
          <w:sz w:val="32"/>
          <w:szCs w:val="32"/>
        </w:rPr>
        <w:t xml:space="preserve"> </w:t>
      </w:r>
      <w:r>
        <w:rPr>
          <w:rFonts w:ascii="仿宋" w:hAnsi="仿宋" w:eastAsia="仿宋" w:cs="仿宋"/>
          <w:spacing w:val="-1"/>
          <w:sz w:val="32"/>
          <w:szCs w:val="32"/>
        </w:rPr>
        <w:t>康养产业发展工作等指标。</w:t>
      </w:r>
    </w:p>
    <w:p>
      <w:pPr>
        <w:spacing w:before="264" w:line="204" w:lineRule="auto"/>
        <w:ind w:firstLine="800"/>
        <w:jc w:val="left"/>
        <w:rPr>
          <w:rFonts w:ascii="楷体" w:hAnsi="楷体" w:eastAsia="楷体" w:cs="楷体"/>
          <w:sz w:val="32"/>
          <w:szCs w:val="32"/>
        </w:rPr>
      </w:pPr>
      <w:r>
        <w:rPr>
          <w:rFonts w:ascii="楷体" w:hAnsi="楷体" w:eastAsia="楷体" w:cs="楷体"/>
          <w:spacing w:val="-12"/>
          <w:sz w:val="32"/>
          <w:szCs w:val="32"/>
        </w:rPr>
        <w:t>（二）</w:t>
      </w:r>
      <w:r>
        <w:rPr>
          <w:rFonts w:ascii="楷体" w:hAnsi="楷体" w:eastAsia="楷体" w:cs="楷体"/>
          <w:spacing w:val="-136"/>
          <w:sz w:val="32"/>
          <w:szCs w:val="32"/>
        </w:rPr>
        <w:t xml:space="preserve"> </w:t>
      </w:r>
      <w:r>
        <w:rPr>
          <w:rFonts w:ascii="楷体" w:hAnsi="楷体" w:eastAsia="楷体" w:cs="楷体"/>
          <w:spacing w:val="-12"/>
          <w:sz w:val="32"/>
          <w:szCs w:val="32"/>
        </w:rPr>
        <w:t>迎峰度冬天然气应急保障</w:t>
      </w:r>
    </w:p>
    <w:p>
      <w:pPr>
        <w:spacing w:line="240" w:lineRule="auto"/>
        <w:jc w:val="left"/>
        <w:rPr>
          <w:rFonts w:ascii="Arial" w:hAnsi="Arial" w:eastAsia="Arial" w:cs="Arial"/>
          <w:sz w:val="21"/>
          <w:szCs w:val="21"/>
        </w:rPr>
      </w:pPr>
    </w:p>
    <w:p>
      <w:pPr>
        <w:spacing w:before="225" w:line="336" w:lineRule="auto"/>
        <w:ind w:right="163" w:firstLine="604" w:firstLineChars="200"/>
        <w:jc w:val="left"/>
        <w:rPr>
          <w:rFonts w:ascii="仿宋" w:hAnsi="仿宋" w:eastAsia="仿宋" w:cs="仿宋"/>
          <w:sz w:val="32"/>
          <w:szCs w:val="32"/>
        </w:rPr>
      </w:pPr>
      <w:r>
        <w:rPr>
          <w:rFonts w:ascii="仿宋" w:hAnsi="仿宋" w:eastAsia="仿宋" w:cs="仿宋"/>
          <w:spacing w:val="-9"/>
          <w:sz w:val="32"/>
          <w:szCs w:val="32"/>
        </w:rPr>
        <w:t>绩效目标：根据工作要求尽快完成奖补资金支付到企业，以保</w:t>
      </w:r>
      <w:r>
        <w:rPr>
          <w:rFonts w:ascii="仿宋" w:hAnsi="仿宋" w:eastAsia="仿宋" w:cs="仿宋"/>
          <w:spacing w:val="-134"/>
          <w:sz w:val="32"/>
          <w:szCs w:val="32"/>
        </w:rPr>
        <w:t xml:space="preserve"> </w:t>
      </w:r>
      <w:r>
        <w:rPr>
          <w:rFonts w:ascii="仿宋" w:hAnsi="仿宋" w:eastAsia="仿宋" w:cs="仿宋"/>
          <w:spacing w:val="2"/>
          <w:sz w:val="32"/>
          <w:szCs w:val="32"/>
        </w:rPr>
        <w:t>障天然气迎峰度冬形势总体平稳，确保人民群众生活等重点用气</w:t>
      </w:r>
      <w:r>
        <w:rPr>
          <w:rFonts w:ascii="仿宋" w:hAnsi="仿宋" w:eastAsia="仿宋" w:cs="仿宋"/>
          <w:spacing w:val="-117"/>
          <w:sz w:val="32"/>
          <w:szCs w:val="32"/>
        </w:rPr>
        <w:t xml:space="preserve"> </w:t>
      </w:r>
      <w:r>
        <w:rPr>
          <w:rFonts w:ascii="仿宋" w:hAnsi="仿宋" w:eastAsia="仿宋" w:cs="仿宋"/>
          <w:spacing w:val="-11"/>
          <w:sz w:val="32"/>
          <w:szCs w:val="32"/>
        </w:rPr>
        <w:t>需求。</w:t>
      </w:r>
    </w:p>
    <w:p>
      <w:pPr>
        <w:spacing w:before="3" w:line="260" w:lineRule="auto"/>
        <w:ind w:left="17" w:right="162" w:firstLine="643"/>
        <w:jc w:val="left"/>
        <w:rPr>
          <w:rFonts w:ascii="仿宋" w:hAnsi="仿宋" w:eastAsia="仿宋" w:cs="仿宋"/>
          <w:sz w:val="32"/>
          <w:szCs w:val="32"/>
        </w:rPr>
      </w:pPr>
      <w:r>
        <w:rPr>
          <w:rFonts w:ascii="仿宋" w:hAnsi="仿宋" w:eastAsia="仿宋" w:cs="仿宋"/>
          <w:spacing w:val="-10"/>
          <w:sz w:val="32"/>
          <w:szCs w:val="32"/>
        </w:rPr>
        <w:t>绩效指标：主要考核奖补企业数量</w:t>
      </w:r>
      <w:r>
        <w:rPr>
          <w:rFonts w:ascii="仿宋" w:hAnsi="仿宋" w:eastAsia="仿宋" w:cs="仿宋"/>
          <w:spacing w:val="-59"/>
          <w:sz w:val="32"/>
          <w:szCs w:val="32"/>
        </w:rPr>
        <w:t xml:space="preserve"> </w:t>
      </w:r>
      <w:r>
        <w:rPr>
          <w:rFonts w:ascii="仿宋" w:hAnsi="仿宋" w:eastAsia="仿宋" w:cs="仿宋"/>
          <w:spacing w:val="-10"/>
          <w:sz w:val="32"/>
          <w:szCs w:val="32"/>
        </w:rPr>
        <w:t>≥</w:t>
      </w:r>
      <w:r>
        <w:rPr>
          <w:rFonts w:ascii="Times New Roman" w:hAnsi="Times New Roman" w:eastAsia="Times New Roman" w:cs="Times New Roman"/>
          <w:spacing w:val="-10"/>
          <w:sz w:val="32"/>
          <w:szCs w:val="32"/>
        </w:rPr>
        <w:t>1</w:t>
      </w:r>
      <w:r>
        <w:rPr>
          <w:rFonts w:ascii="Times New Roman" w:hAnsi="Times New Roman" w:eastAsia="Times New Roman" w:cs="Times New Roman"/>
          <w:spacing w:val="13"/>
          <w:sz w:val="32"/>
          <w:szCs w:val="32"/>
        </w:rPr>
        <w:t xml:space="preserve"> </w:t>
      </w:r>
      <w:r>
        <w:rPr>
          <w:rFonts w:ascii="仿宋" w:hAnsi="仿宋" w:eastAsia="仿宋" w:cs="仿宋"/>
          <w:spacing w:val="-10"/>
          <w:sz w:val="32"/>
          <w:szCs w:val="32"/>
        </w:rPr>
        <w:t>个、断气事件发生次数</w:t>
      </w:r>
      <w:r>
        <w:rPr>
          <w:rFonts w:ascii="仿宋" w:hAnsi="仿宋" w:eastAsia="仿宋" w:cs="仿宋"/>
          <w:spacing w:val="-140"/>
          <w:sz w:val="32"/>
          <w:szCs w:val="32"/>
        </w:rPr>
        <w:t xml:space="preserve"> </w:t>
      </w:r>
      <w:r>
        <w:rPr>
          <w:rFonts w:ascii="仿宋" w:hAnsi="仿宋" w:eastAsia="仿宋" w:cs="仿宋"/>
          <w:spacing w:val="4"/>
          <w:sz w:val="32"/>
          <w:szCs w:val="32"/>
        </w:rPr>
        <w:t>为</w:t>
      </w:r>
      <w:r>
        <w:rPr>
          <w:rFonts w:ascii="Times New Roman" w:hAnsi="Times New Roman" w:eastAsia="Times New Roman" w:cs="Times New Roman"/>
          <w:spacing w:val="4"/>
          <w:sz w:val="32"/>
          <w:szCs w:val="32"/>
        </w:rPr>
        <w:t>0</w:t>
      </w:r>
      <w:r>
        <w:rPr>
          <w:rFonts w:ascii="Times New Roman" w:hAnsi="Times New Roman" w:eastAsia="Times New Roman" w:cs="Times New Roman"/>
          <w:spacing w:val="28"/>
          <w:sz w:val="32"/>
          <w:szCs w:val="32"/>
        </w:rPr>
        <w:t xml:space="preserve"> </w:t>
      </w:r>
      <w:r>
        <w:rPr>
          <w:rFonts w:ascii="仿宋" w:hAnsi="仿宋" w:eastAsia="仿宋" w:cs="仿宋"/>
          <w:spacing w:val="4"/>
          <w:sz w:val="32"/>
          <w:szCs w:val="32"/>
        </w:rPr>
        <w:t>次等指标。</w:t>
      </w:r>
    </w:p>
    <w:p>
      <w:pPr>
        <w:spacing w:before="264" w:line="204" w:lineRule="auto"/>
        <w:ind w:firstLine="797"/>
        <w:jc w:val="left"/>
        <w:rPr>
          <w:rFonts w:ascii="楷体" w:hAnsi="楷体" w:eastAsia="楷体" w:cs="楷体"/>
          <w:sz w:val="32"/>
          <w:szCs w:val="32"/>
        </w:rPr>
      </w:pPr>
      <w:r>
        <w:rPr>
          <w:rFonts w:ascii="楷体" w:hAnsi="楷体" w:eastAsia="楷体" w:cs="楷体"/>
          <w:spacing w:val="-26"/>
          <w:sz w:val="32"/>
          <w:szCs w:val="32"/>
        </w:rPr>
        <w:t>（三）</w:t>
      </w:r>
      <w:r>
        <w:rPr>
          <w:rFonts w:ascii="仿宋" w:hAnsi="仿宋" w:eastAsia="仿宋" w:cs="仿宋"/>
          <w:spacing w:val="-26"/>
          <w:sz w:val="32"/>
          <w:szCs w:val="32"/>
        </w:rPr>
        <w:t>“</w:t>
      </w:r>
      <w:r>
        <w:rPr>
          <w:rFonts w:ascii="楷体" w:hAnsi="楷体" w:eastAsia="楷体" w:cs="楷体"/>
          <w:spacing w:val="-26"/>
          <w:sz w:val="32"/>
          <w:szCs w:val="32"/>
        </w:rPr>
        <w:t>双创</w:t>
      </w:r>
      <w:r>
        <w:rPr>
          <w:rFonts w:ascii="仿宋" w:hAnsi="仿宋" w:eastAsia="仿宋" w:cs="仿宋"/>
          <w:spacing w:val="-26"/>
          <w:sz w:val="32"/>
          <w:szCs w:val="32"/>
        </w:rPr>
        <w:t>”</w:t>
      </w:r>
      <w:r>
        <w:rPr>
          <w:rFonts w:ascii="楷体" w:hAnsi="楷体" w:eastAsia="楷体" w:cs="楷体"/>
          <w:spacing w:val="-26"/>
          <w:sz w:val="32"/>
          <w:szCs w:val="32"/>
        </w:rPr>
        <w:t>活动周筹备</w:t>
      </w:r>
    </w:p>
    <w:p>
      <w:pPr>
        <w:spacing w:before="233" w:line="336" w:lineRule="auto"/>
        <w:ind w:right="160" w:firstLine="660"/>
        <w:jc w:val="left"/>
        <w:rPr>
          <w:rFonts w:ascii="仿宋" w:hAnsi="仿宋" w:eastAsia="仿宋" w:cs="仿宋"/>
          <w:sz w:val="32"/>
          <w:szCs w:val="32"/>
        </w:rPr>
      </w:pPr>
      <w:r>
        <w:rPr>
          <w:rFonts w:ascii="仿宋" w:hAnsi="仿宋" w:eastAsia="仿宋" w:cs="仿宋"/>
          <w:spacing w:val="-14"/>
          <w:sz w:val="32"/>
          <w:szCs w:val="32"/>
        </w:rPr>
        <w:t>绩效目标：通过搭建</w:t>
      </w:r>
      <w:r>
        <w:rPr>
          <w:rFonts w:ascii="仿宋" w:hAnsi="仿宋" w:eastAsia="仿宋" w:cs="仿宋"/>
          <w:spacing w:val="-16"/>
          <w:sz w:val="32"/>
          <w:szCs w:val="32"/>
        </w:rPr>
        <w:t xml:space="preserve"> </w:t>
      </w:r>
      <w:r>
        <w:rPr>
          <w:rFonts w:ascii="仿宋" w:hAnsi="仿宋" w:eastAsia="仿宋" w:cs="仿宋"/>
          <w:spacing w:val="-14"/>
          <w:sz w:val="32"/>
          <w:szCs w:val="32"/>
        </w:rPr>
        <w:t>“双创”展示平台，推动形成新一轮创业</w:t>
      </w:r>
      <w:r>
        <w:rPr>
          <w:rFonts w:ascii="仿宋" w:hAnsi="仿宋" w:eastAsia="仿宋" w:cs="仿宋"/>
          <w:spacing w:val="-140"/>
          <w:sz w:val="32"/>
          <w:szCs w:val="32"/>
        </w:rPr>
        <w:t xml:space="preserve"> </w:t>
      </w:r>
      <w:r>
        <w:rPr>
          <w:rFonts w:ascii="仿宋" w:hAnsi="仿宋" w:eastAsia="仿宋" w:cs="仿宋"/>
          <w:spacing w:val="-1"/>
          <w:sz w:val="32"/>
          <w:szCs w:val="32"/>
        </w:rPr>
        <w:t>创新热潮，为实现创新驱动发展汇聚智慧和力量。</w:t>
      </w:r>
    </w:p>
    <w:p>
      <w:pPr>
        <w:spacing w:line="261" w:lineRule="auto"/>
        <w:ind w:left="23" w:firstLine="636"/>
        <w:jc w:val="left"/>
        <w:rPr>
          <w:rFonts w:ascii="仿宋" w:hAnsi="仿宋" w:eastAsia="仿宋" w:cs="仿宋"/>
          <w:sz w:val="32"/>
          <w:szCs w:val="32"/>
        </w:rPr>
      </w:pPr>
      <w:r>
        <w:rPr>
          <w:rFonts w:ascii="仿宋" w:hAnsi="仿宋" w:eastAsia="仿宋" w:cs="仿宋"/>
          <w:spacing w:val="-15"/>
          <w:sz w:val="32"/>
          <w:szCs w:val="32"/>
        </w:rPr>
        <w:t>绩效指标：会议筹备活动次数</w:t>
      </w:r>
      <w:r>
        <w:rPr>
          <w:rFonts w:ascii="仿宋" w:hAnsi="仿宋" w:eastAsia="仿宋" w:cs="仿宋"/>
          <w:spacing w:val="-73"/>
          <w:sz w:val="32"/>
          <w:szCs w:val="32"/>
        </w:rPr>
        <w:t xml:space="preserve"> </w:t>
      </w:r>
      <w:r>
        <w:rPr>
          <w:rFonts w:ascii="仿宋" w:hAnsi="仿宋" w:eastAsia="仿宋" w:cs="仿宋"/>
          <w:spacing w:val="-15"/>
          <w:sz w:val="32"/>
          <w:szCs w:val="32"/>
        </w:rPr>
        <w:t>≥</w:t>
      </w:r>
      <w:r>
        <w:rPr>
          <w:rFonts w:ascii="Times New Roman" w:hAnsi="Times New Roman" w:eastAsia="Times New Roman" w:cs="Times New Roman"/>
          <w:spacing w:val="-15"/>
          <w:sz w:val="32"/>
          <w:szCs w:val="32"/>
        </w:rPr>
        <w:t>1</w:t>
      </w:r>
      <w:r>
        <w:rPr>
          <w:rFonts w:ascii="Times New Roman" w:hAnsi="Times New Roman" w:eastAsia="Times New Roman" w:cs="Times New Roman"/>
          <w:spacing w:val="20"/>
          <w:sz w:val="32"/>
          <w:szCs w:val="32"/>
        </w:rPr>
        <w:t xml:space="preserve"> </w:t>
      </w:r>
      <w:r>
        <w:rPr>
          <w:rFonts w:ascii="仿宋" w:hAnsi="仿宋" w:eastAsia="仿宋" w:cs="仿宋"/>
          <w:spacing w:val="-15"/>
          <w:sz w:val="32"/>
          <w:szCs w:val="32"/>
        </w:rPr>
        <w:t>次、推动形成一轮创新热潮，</w:t>
      </w:r>
      <w:r>
        <w:rPr>
          <w:rFonts w:ascii="仿宋" w:hAnsi="仿宋" w:eastAsia="仿宋" w:cs="仿宋"/>
          <w:spacing w:val="-140"/>
          <w:sz w:val="32"/>
          <w:szCs w:val="32"/>
        </w:rPr>
        <w:t xml:space="preserve"> </w:t>
      </w:r>
      <w:r>
        <w:rPr>
          <w:rFonts w:ascii="仿宋" w:hAnsi="仿宋" w:eastAsia="仿宋" w:cs="仿宋"/>
          <w:spacing w:val="-3"/>
          <w:sz w:val="32"/>
          <w:szCs w:val="32"/>
        </w:rPr>
        <w:t>实现创新驱动发展等指标。</w:t>
      </w:r>
    </w:p>
    <w:p>
      <w:pPr>
        <w:spacing w:before="264" w:line="204" w:lineRule="auto"/>
        <w:ind w:firstLine="797"/>
        <w:jc w:val="left"/>
        <w:rPr>
          <w:rFonts w:ascii="楷体" w:hAnsi="楷体" w:eastAsia="楷体" w:cs="楷体"/>
          <w:sz w:val="32"/>
          <w:szCs w:val="32"/>
        </w:rPr>
      </w:pPr>
      <w:r>
        <w:rPr>
          <w:rFonts w:ascii="楷体" w:hAnsi="楷体" w:eastAsia="楷体" w:cs="楷体"/>
          <w:spacing w:val="-10"/>
          <w:sz w:val="32"/>
          <w:szCs w:val="32"/>
        </w:rPr>
        <w:t>（四）</w:t>
      </w:r>
      <w:r>
        <w:rPr>
          <w:rFonts w:ascii="楷体" w:hAnsi="楷体" w:eastAsia="楷体" w:cs="楷体"/>
          <w:spacing w:val="-155"/>
          <w:sz w:val="32"/>
          <w:szCs w:val="32"/>
        </w:rPr>
        <w:t xml:space="preserve"> </w:t>
      </w:r>
      <w:r>
        <w:rPr>
          <w:rFonts w:ascii="楷体" w:hAnsi="楷体" w:eastAsia="楷体" w:cs="楷体"/>
          <w:spacing w:val="-10"/>
          <w:sz w:val="32"/>
          <w:szCs w:val="32"/>
        </w:rPr>
        <w:t>保障我市重点项目顺利实施</w:t>
      </w:r>
    </w:p>
    <w:p>
      <w:pPr>
        <w:spacing w:before="230" w:line="286" w:lineRule="auto"/>
        <w:ind w:left="4" w:right="164" w:firstLine="655"/>
        <w:jc w:val="left"/>
        <w:rPr>
          <w:rFonts w:ascii="仿宋" w:hAnsi="仿宋" w:eastAsia="仿宋" w:cs="仿宋"/>
          <w:sz w:val="32"/>
          <w:szCs w:val="32"/>
        </w:rPr>
      </w:pPr>
      <w:r>
        <w:rPr>
          <w:rFonts w:ascii="仿宋" w:hAnsi="仿宋" w:eastAsia="仿宋" w:cs="仿宋"/>
          <w:spacing w:val="-9"/>
          <w:sz w:val="32"/>
          <w:szCs w:val="32"/>
        </w:rPr>
        <w:t>绩效目标：通过重点项目专项资金的拨付保障，确保全市项目</w:t>
      </w:r>
      <w:r>
        <w:rPr>
          <w:rFonts w:ascii="仿宋" w:hAnsi="仿宋" w:eastAsia="仿宋" w:cs="仿宋"/>
          <w:spacing w:val="-135"/>
          <w:sz w:val="32"/>
          <w:szCs w:val="32"/>
        </w:rPr>
        <w:t xml:space="preserve"> </w:t>
      </w:r>
      <w:r>
        <w:rPr>
          <w:rFonts w:ascii="仿宋" w:hAnsi="仿宋" w:eastAsia="仿宋" w:cs="仿宋"/>
          <w:spacing w:val="-8"/>
          <w:sz w:val="32"/>
          <w:szCs w:val="32"/>
        </w:rPr>
        <w:t>建设平稳较快推进，省市重点项目、投资亿元以上项目按照计划节</w:t>
      </w:r>
      <w:r>
        <w:rPr>
          <w:rFonts w:ascii="仿宋" w:hAnsi="仿宋" w:eastAsia="仿宋" w:cs="仿宋"/>
          <w:spacing w:val="-130"/>
          <w:sz w:val="32"/>
          <w:szCs w:val="32"/>
        </w:rPr>
        <w:t xml:space="preserve"> </w:t>
      </w:r>
      <w:r>
        <w:rPr>
          <w:rFonts w:ascii="仿宋" w:hAnsi="仿宋" w:eastAsia="仿宋" w:cs="仿宋"/>
          <w:spacing w:val="-2"/>
          <w:sz w:val="32"/>
          <w:szCs w:val="32"/>
        </w:rPr>
        <w:t>点顺利实施。</w:t>
      </w:r>
    </w:p>
    <w:p>
      <w:pPr>
        <w:spacing w:before="264" w:line="261" w:lineRule="auto"/>
        <w:ind w:left="7" w:right="162" w:firstLine="653"/>
        <w:jc w:val="left"/>
        <w:rPr>
          <w:rFonts w:ascii="仿宋" w:hAnsi="仿宋" w:eastAsia="仿宋" w:cs="仿宋"/>
          <w:sz w:val="32"/>
          <w:szCs w:val="32"/>
        </w:rPr>
      </w:pPr>
      <w:r>
        <w:rPr>
          <w:rFonts w:ascii="仿宋" w:hAnsi="仿宋" w:eastAsia="仿宋" w:cs="仿宋"/>
          <w:spacing w:val="-7"/>
          <w:sz w:val="32"/>
          <w:szCs w:val="32"/>
        </w:rPr>
        <w:t>绩效指标：督导、调度省市重点项目投资完成率≥</w:t>
      </w:r>
      <w:r>
        <w:rPr>
          <w:rFonts w:ascii="Times New Roman" w:hAnsi="Times New Roman" w:eastAsia="Times New Roman" w:cs="Times New Roman"/>
          <w:spacing w:val="-7"/>
          <w:sz w:val="32"/>
          <w:szCs w:val="32"/>
        </w:rPr>
        <w:t>90%</w:t>
      </w:r>
      <w:r>
        <w:rPr>
          <w:rFonts w:ascii="仿宋" w:hAnsi="仿宋" w:eastAsia="仿宋" w:cs="仿宋"/>
          <w:spacing w:val="-7"/>
          <w:sz w:val="32"/>
          <w:szCs w:val="32"/>
        </w:rPr>
        <w:t>、积极</w:t>
      </w:r>
      <w:r>
        <w:rPr>
          <w:rFonts w:ascii="仿宋" w:hAnsi="仿宋" w:eastAsia="仿宋" w:cs="仿宋"/>
          <w:spacing w:val="-126"/>
          <w:sz w:val="32"/>
          <w:szCs w:val="32"/>
        </w:rPr>
        <w:t xml:space="preserve"> </w:t>
      </w:r>
      <w:r>
        <w:rPr>
          <w:rFonts w:ascii="仿宋" w:hAnsi="仿宋" w:eastAsia="仿宋" w:cs="仿宋"/>
          <w:spacing w:val="-1"/>
          <w:sz w:val="32"/>
          <w:szCs w:val="32"/>
        </w:rPr>
        <w:t>推进政府投资及重大项目建设等指标。</w:t>
      </w:r>
    </w:p>
    <w:p>
      <w:pPr>
        <w:spacing w:before="264" w:line="204" w:lineRule="auto"/>
        <w:ind w:firstLine="797"/>
        <w:jc w:val="left"/>
        <w:rPr>
          <w:rFonts w:ascii="楷体" w:hAnsi="楷体" w:eastAsia="楷体" w:cs="楷体"/>
          <w:sz w:val="32"/>
          <w:szCs w:val="32"/>
        </w:rPr>
      </w:pPr>
      <w:r>
        <w:rPr>
          <w:rFonts w:ascii="楷体" w:hAnsi="楷体" w:eastAsia="楷体" w:cs="楷体"/>
          <w:spacing w:val="-6"/>
          <w:sz w:val="32"/>
          <w:szCs w:val="32"/>
        </w:rPr>
        <w:t>（五）</w:t>
      </w:r>
      <w:r>
        <w:rPr>
          <w:rFonts w:ascii="楷体" w:hAnsi="楷体" w:eastAsia="楷体" w:cs="楷体"/>
          <w:spacing w:val="-136"/>
          <w:sz w:val="32"/>
          <w:szCs w:val="32"/>
        </w:rPr>
        <w:t xml:space="preserve"> </w:t>
      </w:r>
      <w:r>
        <w:rPr>
          <w:rFonts w:ascii="楷体" w:hAnsi="楷体" w:eastAsia="楷体" w:cs="楷体"/>
          <w:spacing w:val="-6"/>
          <w:sz w:val="32"/>
          <w:szCs w:val="32"/>
        </w:rPr>
        <w:t>推动生态环境治理工作，加快企业节能技术升级改造</w:t>
      </w:r>
    </w:p>
    <w:p>
      <w:pPr>
        <w:spacing w:before="229" w:line="261" w:lineRule="auto"/>
        <w:ind w:left="64" w:right="164" w:firstLine="595"/>
        <w:jc w:val="left"/>
        <w:rPr>
          <w:rFonts w:ascii="仿宋" w:hAnsi="仿宋" w:eastAsia="仿宋" w:cs="仿宋"/>
          <w:sz w:val="32"/>
          <w:szCs w:val="32"/>
        </w:rPr>
      </w:pPr>
      <w:r>
        <w:rPr>
          <w:rFonts w:ascii="仿宋" w:hAnsi="仿宋" w:eastAsia="仿宋" w:cs="仿宋"/>
          <w:spacing w:val="-9"/>
          <w:sz w:val="32"/>
          <w:szCs w:val="32"/>
        </w:rPr>
        <w:t>绩效目标：通过设立专项引导资金，筛选扶持一批重大节能项</w:t>
      </w:r>
      <w:r>
        <w:rPr>
          <w:rFonts w:ascii="仿宋" w:hAnsi="仿宋" w:eastAsia="仿宋" w:cs="仿宋"/>
          <w:spacing w:val="-135"/>
          <w:sz w:val="32"/>
          <w:szCs w:val="32"/>
        </w:rPr>
        <w:t xml:space="preserve"> </w:t>
      </w:r>
      <w:r>
        <w:rPr>
          <w:rFonts w:ascii="仿宋" w:hAnsi="仿宋" w:eastAsia="仿宋" w:cs="仿宋"/>
          <w:spacing w:val="-3"/>
          <w:sz w:val="32"/>
          <w:szCs w:val="32"/>
        </w:rPr>
        <w:t>目，为推动生态环境治理工作，加快企业节能技术升级改造。</w:t>
      </w:r>
    </w:p>
    <w:p>
      <w:pPr>
        <w:spacing w:before="266" w:line="336" w:lineRule="auto"/>
        <w:ind w:left="34" w:right="162" w:firstLine="625"/>
        <w:jc w:val="left"/>
        <w:rPr>
          <w:rFonts w:ascii="仿宋" w:hAnsi="仿宋" w:eastAsia="仿宋" w:cs="仿宋"/>
          <w:sz w:val="32"/>
          <w:szCs w:val="32"/>
        </w:rPr>
      </w:pPr>
      <w:r>
        <w:rPr>
          <w:rFonts w:ascii="仿宋" w:hAnsi="仿宋" w:eastAsia="仿宋" w:cs="仿宋"/>
          <w:spacing w:val="-10"/>
          <w:sz w:val="32"/>
          <w:szCs w:val="32"/>
        </w:rPr>
        <w:t>绩效指标：拨付相关县区项目单位数量</w:t>
      </w:r>
      <w:r>
        <w:rPr>
          <w:rFonts w:ascii="仿宋" w:hAnsi="仿宋" w:eastAsia="仿宋" w:cs="仿宋"/>
          <w:spacing w:val="-66"/>
          <w:sz w:val="32"/>
          <w:szCs w:val="32"/>
        </w:rPr>
        <w:t xml:space="preserve"> </w:t>
      </w:r>
      <w:r>
        <w:rPr>
          <w:rFonts w:ascii="仿宋" w:hAnsi="仿宋" w:eastAsia="仿宋" w:cs="仿宋"/>
          <w:spacing w:val="-10"/>
          <w:sz w:val="32"/>
          <w:szCs w:val="32"/>
        </w:rPr>
        <w:t>≥</w:t>
      </w:r>
      <w:r>
        <w:rPr>
          <w:rFonts w:ascii="Times New Roman" w:hAnsi="Times New Roman" w:eastAsia="Times New Roman" w:cs="Times New Roman"/>
          <w:spacing w:val="-10"/>
          <w:sz w:val="32"/>
          <w:szCs w:val="32"/>
        </w:rPr>
        <w:t>1</w:t>
      </w:r>
      <w:r>
        <w:rPr>
          <w:rFonts w:ascii="Times New Roman" w:hAnsi="Times New Roman" w:eastAsia="Times New Roman" w:cs="Times New Roman"/>
          <w:spacing w:val="20"/>
          <w:sz w:val="32"/>
          <w:szCs w:val="32"/>
        </w:rPr>
        <w:t xml:space="preserve"> </w:t>
      </w:r>
      <w:r>
        <w:rPr>
          <w:rFonts w:ascii="仿宋" w:hAnsi="仿宋" w:eastAsia="仿宋" w:cs="仿宋"/>
          <w:spacing w:val="-10"/>
          <w:sz w:val="32"/>
          <w:szCs w:val="32"/>
        </w:rPr>
        <w:t>家、企业节能技术</w:t>
      </w:r>
      <w:r>
        <w:rPr>
          <w:rFonts w:ascii="仿宋" w:hAnsi="仿宋" w:eastAsia="仿宋" w:cs="仿宋"/>
          <w:spacing w:val="-140"/>
          <w:sz w:val="32"/>
          <w:szCs w:val="32"/>
        </w:rPr>
        <w:t xml:space="preserve"> </w:t>
      </w:r>
      <w:r>
        <w:rPr>
          <w:rFonts w:ascii="仿宋" w:hAnsi="仿宋" w:eastAsia="仿宋" w:cs="仿宋"/>
          <w:spacing w:val="-4"/>
          <w:sz w:val="32"/>
          <w:szCs w:val="32"/>
        </w:rPr>
        <w:t>能力有所提升等相关指标。</w:t>
      </w:r>
    </w:p>
    <w:p>
      <w:pPr>
        <w:spacing w:before="2" w:line="204" w:lineRule="auto"/>
        <w:ind w:firstLine="797"/>
        <w:jc w:val="left"/>
        <w:rPr>
          <w:rFonts w:ascii="楷体" w:hAnsi="楷体" w:eastAsia="楷体" w:cs="楷体"/>
          <w:sz w:val="32"/>
          <w:szCs w:val="32"/>
        </w:rPr>
      </w:pPr>
      <w:r>
        <w:rPr>
          <w:rFonts w:ascii="楷体" w:hAnsi="楷体" w:eastAsia="楷体" w:cs="楷体"/>
          <w:spacing w:val="-15"/>
          <w:sz w:val="32"/>
          <w:szCs w:val="32"/>
        </w:rPr>
        <w:t>（六）</w:t>
      </w:r>
      <w:r>
        <w:rPr>
          <w:rFonts w:ascii="楷体" w:hAnsi="楷体" w:eastAsia="楷体" w:cs="楷体"/>
          <w:spacing w:val="-94"/>
          <w:sz w:val="32"/>
          <w:szCs w:val="32"/>
        </w:rPr>
        <w:t xml:space="preserve"> </w:t>
      </w:r>
      <w:r>
        <w:rPr>
          <w:rFonts w:ascii="楷体" w:hAnsi="楷体" w:eastAsia="楷体" w:cs="楷体"/>
          <w:spacing w:val="-15"/>
          <w:sz w:val="32"/>
          <w:szCs w:val="32"/>
        </w:rPr>
        <w:t>固定资产投资调控与管理</w:t>
      </w:r>
    </w:p>
    <w:p>
      <w:pPr>
        <w:spacing w:before="229" w:line="204" w:lineRule="auto"/>
        <w:ind w:firstLine="660"/>
        <w:jc w:val="left"/>
        <w:rPr>
          <w:rFonts w:ascii="仿宋" w:hAnsi="仿宋" w:eastAsia="仿宋" w:cs="仿宋"/>
          <w:sz w:val="32"/>
          <w:szCs w:val="32"/>
        </w:rPr>
      </w:pPr>
      <w:r>
        <w:rPr>
          <w:rFonts w:ascii="仿宋" w:hAnsi="仿宋" w:eastAsia="仿宋" w:cs="仿宋"/>
          <w:spacing w:val="-9"/>
          <w:sz w:val="32"/>
          <w:szCs w:val="32"/>
        </w:rPr>
        <w:t>绩效目标：提升公共设施水平，提高公共服务能力，促进经济</w:t>
      </w:r>
    </w:p>
    <w:p>
      <w:pPr>
        <w:spacing w:before="223" w:line="204" w:lineRule="auto"/>
        <w:ind w:firstLine="6"/>
        <w:jc w:val="left"/>
        <w:rPr>
          <w:rFonts w:ascii="仿宋" w:hAnsi="仿宋" w:eastAsia="仿宋" w:cs="仿宋"/>
          <w:sz w:val="32"/>
          <w:szCs w:val="32"/>
        </w:rPr>
      </w:pPr>
      <w:r>
        <w:rPr>
          <w:rFonts w:ascii="仿宋" w:hAnsi="仿宋" w:eastAsia="仿宋" w:cs="仿宋"/>
          <w:spacing w:val="-4"/>
          <w:sz w:val="32"/>
          <w:szCs w:val="32"/>
        </w:rPr>
        <w:t>和社会发展。</w:t>
      </w:r>
    </w:p>
    <w:p>
      <w:pPr>
        <w:spacing w:before="230" w:line="286" w:lineRule="auto"/>
        <w:ind w:left="6" w:right="161" w:firstLine="645"/>
        <w:jc w:val="left"/>
        <w:rPr>
          <w:rFonts w:ascii="仿宋" w:hAnsi="仿宋" w:eastAsia="仿宋" w:cs="仿宋"/>
          <w:sz w:val="32"/>
          <w:szCs w:val="32"/>
        </w:rPr>
      </w:pPr>
      <w:r>
        <w:rPr>
          <w:rFonts w:ascii="仿宋" w:hAnsi="仿宋" w:eastAsia="仿宋" w:cs="仿宋"/>
          <w:spacing w:val="-2"/>
          <w:sz w:val="32"/>
          <w:szCs w:val="32"/>
        </w:rPr>
        <w:t>绩效指标：重点项目监督稽察覆盖率达到</w:t>
      </w:r>
      <w:r>
        <w:rPr>
          <w:rFonts w:ascii="仿宋" w:hAnsi="仿宋" w:eastAsia="仿宋" w:cs="仿宋"/>
          <w:spacing w:val="32"/>
          <w:sz w:val="32"/>
          <w:szCs w:val="32"/>
        </w:rPr>
        <w:t xml:space="preserve"> </w:t>
      </w:r>
      <w:r>
        <w:rPr>
          <w:rFonts w:ascii="Times New Roman" w:hAnsi="Times New Roman" w:eastAsia="Times New Roman" w:cs="Times New Roman"/>
          <w:spacing w:val="-2"/>
          <w:sz w:val="32"/>
          <w:szCs w:val="32"/>
        </w:rPr>
        <w:t>60%</w:t>
      </w:r>
      <w:r>
        <w:rPr>
          <w:rFonts w:ascii="仿宋" w:hAnsi="仿宋" w:eastAsia="仿宋" w:cs="仿宋"/>
          <w:spacing w:val="-2"/>
          <w:sz w:val="32"/>
          <w:szCs w:val="32"/>
        </w:rPr>
        <w:t>以上；项目开</w:t>
      </w:r>
      <w:r>
        <w:rPr>
          <w:rFonts w:ascii="仿宋" w:hAnsi="仿宋" w:eastAsia="仿宋" w:cs="仿宋"/>
          <w:spacing w:val="-140"/>
          <w:sz w:val="32"/>
          <w:szCs w:val="32"/>
        </w:rPr>
        <w:t xml:space="preserve"> </w:t>
      </w:r>
      <w:r>
        <w:rPr>
          <w:rFonts w:ascii="仿宋" w:hAnsi="仿宋" w:eastAsia="仿宋" w:cs="仿宋"/>
          <w:spacing w:val="-2"/>
          <w:sz w:val="32"/>
          <w:szCs w:val="32"/>
        </w:rPr>
        <w:t>工率达到</w:t>
      </w:r>
      <w:r>
        <w:rPr>
          <w:rFonts w:ascii="仿宋" w:hAnsi="仿宋" w:eastAsia="仿宋" w:cs="仿宋"/>
          <w:spacing w:val="-28"/>
          <w:sz w:val="32"/>
          <w:szCs w:val="32"/>
        </w:rPr>
        <w:t xml:space="preserve"> </w:t>
      </w:r>
      <w:r>
        <w:rPr>
          <w:rFonts w:ascii="Times New Roman" w:hAnsi="Times New Roman" w:eastAsia="Times New Roman" w:cs="Times New Roman"/>
          <w:spacing w:val="-2"/>
          <w:sz w:val="32"/>
          <w:szCs w:val="32"/>
        </w:rPr>
        <w:t>80%</w:t>
      </w:r>
      <w:r>
        <w:rPr>
          <w:rFonts w:ascii="仿宋" w:hAnsi="仿宋" w:eastAsia="仿宋" w:cs="仿宋"/>
          <w:spacing w:val="-2"/>
          <w:sz w:val="32"/>
          <w:szCs w:val="32"/>
        </w:rPr>
        <w:t>以上；预算内基本建设投资计划执行率达到</w:t>
      </w:r>
      <w:r>
        <w:rPr>
          <w:rFonts w:ascii="仿宋" w:hAnsi="仿宋" w:eastAsia="仿宋" w:cs="仿宋"/>
          <w:spacing w:val="-37"/>
          <w:sz w:val="32"/>
          <w:szCs w:val="32"/>
        </w:rPr>
        <w:t xml:space="preserve"> </w:t>
      </w:r>
      <w:r>
        <w:rPr>
          <w:rFonts w:ascii="Times New Roman" w:hAnsi="Times New Roman" w:eastAsia="Times New Roman" w:cs="Times New Roman"/>
          <w:spacing w:val="-2"/>
          <w:sz w:val="32"/>
          <w:szCs w:val="32"/>
        </w:rPr>
        <w:t>95%</w:t>
      </w:r>
      <w:r>
        <w:rPr>
          <w:rFonts w:ascii="仿宋" w:hAnsi="仿宋" w:eastAsia="仿宋" w:cs="仿宋"/>
          <w:spacing w:val="-2"/>
          <w:sz w:val="32"/>
          <w:szCs w:val="32"/>
        </w:rPr>
        <w:t>以</w:t>
      </w:r>
      <w:r>
        <w:rPr>
          <w:rFonts w:ascii="仿宋" w:hAnsi="仿宋" w:eastAsia="仿宋" w:cs="仿宋"/>
          <w:spacing w:val="-139"/>
          <w:sz w:val="32"/>
          <w:szCs w:val="32"/>
        </w:rPr>
        <w:t xml:space="preserve"> </w:t>
      </w:r>
      <w:r>
        <w:rPr>
          <w:rFonts w:ascii="仿宋" w:hAnsi="仿宋" w:eastAsia="仿宋" w:cs="仿宋"/>
          <w:spacing w:val="-3"/>
          <w:sz w:val="32"/>
          <w:szCs w:val="32"/>
        </w:rPr>
        <w:t>上；固定资产投资计划完成率达到</w:t>
      </w:r>
      <w:r>
        <w:rPr>
          <w:rFonts w:ascii="仿宋" w:hAnsi="仿宋" w:eastAsia="仿宋" w:cs="仿宋"/>
          <w:spacing w:val="-36"/>
          <w:sz w:val="32"/>
          <w:szCs w:val="32"/>
        </w:rPr>
        <w:t xml:space="preserve"> </w:t>
      </w:r>
      <w:r>
        <w:rPr>
          <w:rFonts w:ascii="Times New Roman" w:hAnsi="Times New Roman" w:eastAsia="Times New Roman" w:cs="Times New Roman"/>
          <w:spacing w:val="-3"/>
          <w:sz w:val="32"/>
          <w:szCs w:val="32"/>
        </w:rPr>
        <w:t>80%</w:t>
      </w:r>
      <w:r>
        <w:rPr>
          <w:rFonts w:ascii="仿宋" w:hAnsi="仿宋" w:eastAsia="仿宋" w:cs="仿宋"/>
          <w:spacing w:val="-3"/>
          <w:sz w:val="32"/>
          <w:szCs w:val="32"/>
        </w:rPr>
        <w:t>以上等。</w:t>
      </w:r>
    </w:p>
    <w:p>
      <w:pPr>
        <w:spacing w:before="264" w:line="204" w:lineRule="auto"/>
        <w:ind w:firstLine="788"/>
        <w:jc w:val="left"/>
        <w:rPr>
          <w:rFonts w:ascii="楷体" w:hAnsi="楷体" w:eastAsia="楷体" w:cs="楷体"/>
          <w:sz w:val="32"/>
          <w:szCs w:val="32"/>
        </w:rPr>
      </w:pPr>
      <w:r>
        <w:rPr>
          <w:rFonts w:ascii="楷体" w:hAnsi="楷体" w:eastAsia="楷体" w:cs="楷体"/>
          <w:spacing w:val="-11"/>
          <w:sz w:val="32"/>
          <w:szCs w:val="32"/>
        </w:rPr>
        <w:t>（七）</w:t>
      </w:r>
      <w:r>
        <w:rPr>
          <w:rFonts w:ascii="楷体" w:hAnsi="楷体" w:eastAsia="楷体" w:cs="楷体"/>
          <w:spacing w:val="-140"/>
          <w:sz w:val="32"/>
          <w:szCs w:val="32"/>
        </w:rPr>
        <w:t xml:space="preserve"> </w:t>
      </w:r>
      <w:r>
        <w:rPr>
          <w:rFonts w:ascii="楷体" w:hAnsi="楷体" w:eastAsia="楷体" w:cs="楷体"/>
          <w:spacing w:val="-11"/>
          <w:sz w:val="32"/>
          <w:szCs w:val="32"/>
        </w:rPr>
        <w:t>价格总水平调控和价格管理</w:t>
      </w:r>
    </w:p>
    <w:p>
      <w:pPr>
        <w:spacing w:before="229" w:line="261" w:lineRule="auto"/>
        <w:ind w:left="18" w:right="168" w:firstLine="632"/>
        <w:jc w:val="left"/>
        <w:rPr>
          <w:rFonts w:ascii="仿宋" w:hAnsi="仿宋" w:eastAsia="仿宋" w:cs="仿宋"/>
          <w:sz w:val="32"/>
          <w:szCs w:val="32"/>
        </w:rPr>
      </w:pPr>
      <w:r>
        <w:rPr>
          <w:rFonts w:ascii="仿宋" w:hAnsi="仿宋" w:eastAsia="仿宋" w:cs="仿宋"/>
          <w:spacing w:val="1"/>
          <w:sz w:val="32"/>
          <w:szCs w:val="32"/>
        </w:rPr>
        <w:t>绩效目标：保持市场价格总水平基本稳定，</w:t>
      </w:r>
      <w:r>
        <w:rPr>
          <w:rFonts w:ascii="仿宋" w:hAnsi="仿宋" w:eastAsia="仿宋" w:cs="仿宋"/>
          <w:spacing w:val="-109"/>
          <w:sz w:val="32"/>
          <w:szCs w:val="32"/>
        </w:rPr>
        <w:t xml:space="preserve"> </w:t>
      </w:r>
      <w:r>
        <w:rPr>
          <w:rFonts w:ascii="仿宋" w:hAnsi="仿宋" w:eastAsia="仿宋" w:cs="仿宋"/>
          <w:spacing w:val="1"/>
          <w:sz w:val="32"/>
          <w:szCs w:val="32"/>
        </w:rPr>
        <w:t>努力保障改善民</w:t>
      </w:r>
      <w:r>
        <w:rPr>
          <w:rFonts w:ascii="仿宋" w:hAnsi="仿宋" w:eastAsia="仿宋" w:cs="仿宋"/>
          <w:spacing w:val="-140"/>
          <w:sz w:val="32"/>
          <w:szCs w:val="32"/>
        </w:rPr>
        <w:t xml:space="preserve"> </w:t>
      </w:r>
      <w:r>
        <w:rPr>
          <w:rFonts w:ascii="仿宋" w:hAnsi="仿宋" w:eastAsia="仿宋" w:cs="仿宋"/>
          <w:spacing w:val="-2"/>
          <w:sz w:val="32"/>
          <w:szCs w:val="32"/>
        </w:rPr>
        <w:t>生，促进经济持续健康发展和社会和谐稳定。</w:t>
      </w:r>
    </w:p>
    <w:p>
      <w:pPr>
        <w:spacing w:before="264" w:line="286" w:lineRule="auto"/>
        <w:ind w:right="160" w:firstLine="651"/>
        <w:jc w:val="left"/>
        <w:rPr>
          <w:rFonts w:ascii="仿宋" w:hAnsi="仿宋" w:eastAsia="仿宋" w:cs="仿宋"/>
          <w:sz w:val="32"/>
          <w:szCs w:val="32"/>
        </w:rPr>
      </w:pPr>
      <w:r>
        <w:rPr>
          <w:rFonts w:ascii="仿宋" w:hAnsi="仿宋" w:eastAsia="仿宋" w:cs="仿宋"/>
          <w:spacing w:val="-9"/>
          <w:sz w:val="32"/>
          <w:szCs w:val="32"/>
        </w:rPr>
        <w:t>绩效指标：居民消费价格年度预期目标完成；价格巡查监测任</w:t>
      </w:r>
      <w:r>
        <w:rPr>
          <w:rFonts w:ascii="仿宋" w:hAnsi="仿宋" w:eastAsia="仿宋" w:cs="仿宋"/>
          <w:spacing w:val="-132"/>
          <w:sz w:val="32"/>
          <w:szCs w:val="32"/>
        </w:rPr>
        <w:t xml:space="preserve"> </w:t>
      </w:r>
      <w:r>
        <w:rPr>
          <w:rFonts w:ascii="仿宋" w:hAnsi="仿宋" w:eastAsia="仿宋" w:cs="仿宋"/>
          <w:spacing w:val="-4"/>
          <w:sz w:val="32"/>
          <w:szCs w:val="32"/>
        </w:rPr>
        <w:t>务完成率高于</w:t>
      </w:r>
      <w:r>
        <w:rPr>
          <w:rFonts w:ascii="仿宋" w:hAnsi="仿宋" w:eastAsia="仿宋" w:cs="仿宋"/>
          <w:spacing w:val="26"/>
          <w:sz w:val="32"/>
          <w:szCs w:val="32"/>
        </w:rPr>
        <w:t xml:space="preserve"> </w:t>
      </w:r>
      <w:r>
        <w:rPr>
          <w:rFonts w:ascii="Times New Roman" w:hAnsi="Times New Roman" w:eastAsia="Times New Roman" w:cs="Times New Roman"/>
          <w:spacing w:val="-4"/>
          <w:sz w:val="32"/>
          <w:szCs w:val="32"/>
        </w:rPr>
        <w:t>80%</w:t>
      </w:r>
      <w:r>
        <w:rPr>
          <w:rFonts w:ascii="仿宋" w:hAnsi="仿宋" w:eastAsia="仿宋" w:cs="仿宋"/>
          <w:spacing w:val="-4"/>
          <w:sz w:val="32"/>
          <w:szCs w:val="32"/>
        </w:rPr>
        <w:t>；</w:t>
      </w:r>
      <w:r>
        <w:rPr>
          <w:rFonts w:ascii="仿宋" w:hAnsi="仿宋" w:eastAsia="仿宋" w:cs="仿宋"/>
          <w:spacing w:val="-118"/>
          <w:sz w:val="32"/>
          <w:szCs w:val="32"/>
        </w:rPr>
        <w:t xml:space="preserve"> </w:t>
      </w:r>
      <w:r>
        <w:rPr>
          <w:rFonts w:ascii="仿宋" w:hAnsi="仿宋" w:eastAsia="仿宋" w:cs="仿宋"/>
          <w:spacing w:val="-4"/>
          <w:sz w:val="32"/>
          <w:szCs w:val="32"/>
        </w:rPr>
        <w:t>国家价格政策及时落实；</w:t>
      </w:r>
      <w:r>
        <w:rPr>
          <w:rFonts w:ascii="仿宋" w:hAnsi="仿宋" w:eastAsia="仿宋" w:cs="仿宋"/>
          <w:spacing w:val="-122"/>
          <w:sz w:val="32"/>
          <w:szCs w:val="32"/>
        </w:rPr>
        <w:t xml:space="preserve"> </w:t>
      </w:r>
      <w:r>
        <w:rPr>
          <w:rFonts w:ascii="仿宋" w:hAnsi="仿宋" w:eastAsia="仿宋" w:cs="仿宋"/>
          <w:spacing w:val="-4"/>
          <w:sz w:val="32"/>
          <w:szCs w:val="32"/>
        </w:rPr>
        <w:t>收费标准制定工作</w:t>
      </w:r>
      <w:r>
        <w:rPr>
          <w:rFonts w:ascii="仿宋" w:hAnsi="仿宋" w:eastAsia="仿宋" w:cs="仿宋"/>
          <w:spacing w:val="-140"/>
          <w:sz w:val="32"/>
          <w:szCs w:val="32"/>
        </w:rPr>
        <w:t xml:space="preserve"> </w:t>
      </w:r>
      <w:r>
        <w:rPr>
          <w:rFonts w:ascii="仿宋" w:hAnsi="仿宋" w:eastAsia="仿宋" w:cs="仿宋"/>
          <w:spacing w:val="-2"/>
          <w:sz w:val="32"/>
          <w:szCs w:val="32"/>
        </w:rPr>
        <w:t>按时完成；认定结论按期完成率高于</w:t>
      </w:r>
      <w:r>
        <w:rPr>
          <w:rFonts w:ascii="仿宋" w:hAnsi="仿宋" w:eastAsia="仿宋" w:cs="仿宋"/>
          <w:spacing w:val="-53"/>
          <w:sz w:val="32"/>
          <w:szCs w:val="32"/>
        </w:rPr>
        <w:t xml:space="preserve"> </w:t>
      </w:r>
      <w:r>
        <w:rPr>
          <w:rFonts w:ascii="Times New Roman" w:hAnsi="Times New Roman" w:eastAsia="Times New Roman" w:cs="Times New Roman"/>
          <w:spacing w:val="-2"/>
          <w:sz w:val="32"/>
          <w:szCs w:val="32"/>
        </w:rPr>
        <w:t>80%</w:t>
      </w:r>
      <w:r>
        <w:rPr>
          <w:rFonts w:ascii="仿宋" w:hAnsi="仿宋" w:eastAsia="仿宋" w:cs="仿宋"/>
          <w:spacing w:val="-2"/>
          <w:sz w:val="32"/>
          <w:szCs w:val="32"/>
        </w:rPr>
        <w:t>等。</w:t>
      </w:r>
    </w:p>
    <w:p>
      <w:pPr>
        <w:spacing w:before="264" w:line="204" w:lineRule="auto"/>
        <w:ind w:firstLine="788"/>
        <w:jc w:val="left"/>
        <w:rPr>
          <w:rFonts w:ascii="楷体" w:hAnsi="楷体" w:eastAsia="楷体" w:cs="楷体"/>
          <w:sz w:val="32"/>
          <w:szCs w:val="32"/>
        </w:rPr>
      </w:pPr>
      <w:r>
        <w:rPr>
          <w:rFonts w:ascii="楷体" w:hAnsi="楷体" w:eastAsia="楷体" w:cs="楷体"/>
          <w:spacing w:val="-18"/>
          <w:sz w:val="32"/>
          <w:szCs w:val="32"/>
        </w:rPr>
        <w:t>（八）</w:t>
      </w:r>
      <w:r>
        <w:rPr>
          <w:rFonts w:ascii="楷体" w:hAnsi="楷体" w:eastAsia="楷体" w:cs="楷体"/>
          <w:spacing w:val="-150"/>
          <w:sz w:val="32"/>
          <w:szCs w:val="32"/>
        </w:rPr>
        <w:t xml:space="preserve"> </w:t>
      </w:r>
      <w:r>
        <w:rPr>
          <w:rFonts w:ascii="楷体" w:hAnsi="楷体" w:eastAsia="楷体" w:cs="楷体"/>
          <w:spacing w:val="-18"/>
          <w:sz w:val="32"/>
          <w:szCs w:val="32"/>
        </w:rPr>
        <w:t>粮食调控管理</w:t>
      </w:r>
    </w:p>
    <w:p>
      <w:pPr>
        <w:spacing w:before="230" w:line="286" w:lineRule="auto"/>
        <w:ind w:left="8" w:firstLine="643"/>
        <w:jc w:val="left"/>
        <w:rPr>
          <w:rFonts w:ascii="仿宋" w:hAnsi="仿宋" w:eastAsia="仿宋" w:cs="仿宋"/>
          <w:sz w:val="32"/>
          <w:szCs w:val="32"/>
        </w:rPr>
      </w:pPr>
      <w:r>
        <w:rPr>
          <w:rFonts w:ascii="仿宋" w:hAnsi="仿宋" w:eastAsia="仿宋" w:cs="仿宋"/>
          <w:spacing w:val="-19"/>
          <w:sz w:val="32"/>
          <w:szCs w:val="32"/>
        </w:rPr>
        <w:t>绩效目标：确保夏秋粮收购政策落实到位，不出现</w:t>
      </w:r>
      <w:r>
        <w:rPr>
          <w:rFonts w:ascii="仿宋" w:hAnsi="仿宋" w:eastAsia="仿宋" w:cs="仿宋"/>
          <w:spacing w:val="-22"/>
          <w:sz w:val="32"/>
          <w:szCs w:val="32"/>
        </w:rPr>
        <w:t xml:space="preserve"> </w:t>
      </w:r>
      <w:r>
        <w:rPr>
          <w:rFonts w:ascii="仿宋" w:hAnsi="仿宋" w:eastAsia="仿宋" w:cs="仿宋"/>
          <w:spacing w:val="-19"/>
          <w:sz w:val="32"/>
          <w:szCs w:val="32"/>
        </w:rPr>
        <w:t>“卖粮难”；</w:t>
      </w:r>
      <w:r>
        <w:rPr>
          <w:rFonts w:ascii="仿宋" w:hAnsi="仿宋" w:eastAsia="仿宋" w:cs="仿宋"/>
          <w:spacing w:val="-140"/>
          <w:sz w:val="32"/>
          <w:szCs w:val="32"/>
        </w:rPr>
        <w:t xml:space="preserve"> </w:t>
      </w:r>
      <w:r>
        <w:rPr>
          <w:rFonts w:ascii="仿宋" w:hAnsi="仿宋" w:eastAsia="仿宋" w:cs="仿宋"/>
          <w:spacing w:val="-9"/>
          <w:sz w:val="32"/>
          <w:szCs w:val="32"/>
        </w:rPr>
        <w:t>落实国家供应政策，确保军需民用；落实粮食储备政策，确保数量</w:t>
      </w:r>
      <w:r>
        <w:rPr>
          <w:rFonts w:ascii="仿宋" w:hAnsi="仿宋" w:eastAsia="仿宋" w:cs="仿宋"/>
          <w:spacing w:val="50"/>
          <w:sz w:val="32"/>
          <w:szCs w:val="32"/>
        </w:rPr>
        <w:t xml:space="preserve"> </w:t>
      </w:r>
      <w:r>
        <w:rPr>
          <w:rFonts w:ascii="仿宋" w:hAnsi="仿宋" w:eastAsia="仿宋" w:cs="仿宋"/>
          <w:spacing w:val="-2"/>
          <w:sz w:val="32"/>
          <w:szCs w:val="32"/>
        </w:rPr>
        <w:t>真实、质量良好、存储安全。</w:t>
      </w:r>
    </w:p>
    <w:p>
      <w:pPr>
        <w:spacing w:before="259" w:line="312" w:lineRule="auto"/>
        <w:ind w:left="8" w:firstLine="643"/>
        <w:jc w:val="left"/>
        <w:rPr>
          <w:rFonts w:ascii="仿宋" w:hAnsi="仿宋" w:eastAsia="仿宋" w:cs="仿宋"/>
          <w:sz w:val="32"/>
          <w:szCs w:val="32"/>
        </w:rPr>
      </w:pPr>
      <w:r>
        <w:rPr>
          <w:rFonts w:ascii="仿宋" w:hAnsi="仿宋" w:eastAsia="仿宋" w:cs="仿宋"/>
          <w:spacing w:val="-15"/>
          <w:sz w:val="32"/>
          <w:szCs w:val="32"/>
        </w:rPr>
        <w:t>绩效指标：确保粮食产、购、销、存、加等数据以及仓储设施、</w:t>
      </w:r>
      <w:r>
        <w:rPr>
          <w:rFonts w:ascii="仿宋" w:hAnsi="仿宋" w:eastAsia="仿宋" w:cs="仿宋"/>
          <w:spacing w:val="-114"/>
          <w:sz w:val="32"/>
          <w:szCs w:val="32"/>
        </w:rPr>
        <w:t xml:space="preserve"> </w:t>
      </w:r>
      <w:r>
        <w:rPr>
          <w:rFonts w:ascii="仿宋" w:hAnsi="仿宋" w:eastAsia="仿宋" w:cs="仿宋"/>
          <w:spacing w:val="-9"/>
          <w:sz w:val="32"/>
          <w:szCs w:val="32"/>
        </w:rPr>
        <w:t>国有资产、经济效益等宏观信息及时上报、汇总，保证数据信息全</w:t>
      </w:r>
      <w:r>
        <w:rPr>
          <w:rFonts w:ascii="仿宋" w:hAnsi="仿宋" w:eastAsia="仿宋" w:cs="仿宋"/>
          <w:spacing w:val="50"/>
          <w:sz w:val="32"/>
          <w:szCs w:val="32"/>
        </w:rPr>
        <w:t xml:space="preserve"> </w:t>
      </w:r>
      <w:r>
        <w:rPr>
          <w:rFonts w:ascii="仿宋" w:hAnsi="仿宋" w:eastAsia="仿宋" w:cs="仿宋"/>
          <w:spacing w:val="-10"/>
          <w:sz w:val="32"/>
          <w:szCs w:val="32"/>
        </w:rPr>
        <w:t>面、完整、正确、及时，数据正确率达到</w:t>
      </w:r>
      <w:r>
        <w:rPr>
          <w:rFonts w:ascii="仿宋" w:hAnsi="仿宋" w:eastAsia="仿宋" w:cs="仿宋"/>
          <w:spacing w:val="-37"/>
          <w:sz w:val="32"/>
          <w:szCs w:val="32"/>
        </w:rPr>
        <w:t xml:space="preserve"> </w:t>
      </w:r>
      <w:r>
        <w:rPr>
          <w:rFonts w:ascii="Times New Roman" w:hAnsi="Times New Roman" w:eastAsia="Times New Roman" w:cs="Times New Roman"/>
          <w:spacing w:val="-10"/>
          <w:sz w:val="32"/>
          <w:szCs w:val="32"/>
        </w:rPr>
        <w:t>90%</w:t>
      </w:r>
      <w:r>
        <w:rPr>
          <w:rFonts w:ascii="仿宋" w:hAnsi="仿宋" w:eastAsia="仿宋" w:cs="仿宋"/>
          <w:spacing w:val="-10"/>
          <w:sz w:val="32"/>
          <w:szCs w:val="32"/>
        </w:rPr>
        <w:t>以上、数据上报完整</w:t>
      </w:r>
      <w:r>
        <w:rPr>
          <w:rFonts w:ascii="仿宋" w:hAnsi="仿宋" w:eastAsia="仿宋" w:cs="仿宋"/>
          <w:spacing w:val="19"/>
          <w:sz w:val="32"/>
          <w:szCs w:val="32"/>
        </w:rPr>
        <w:t xml:space="preserve"> </w:t>
      </w:r>
      <w:r>
        <w:rPr>
          <w:rFonts w:ascii="仿宋" w:hAnsi="仿宋" w:eastAsia="仿宋" w:cs="仿宋"/>
          <w:spacing w:val="-3"/>
          <w:sz w:val="32"/>
          <w:szCs w:val="32"/>
        </w:rPr>
        <w:t>率达到</w:t>
      </w:r>
      <w:r>
        <w:rPr>
          <w:rFonts w:ascii="Times New Roman" w:hAnsi="Times New Roman" w:eastAsia="Times New Roman" w:cs="Times New Roman"/>
          <w:spacing w:val="-3"/>
          <w:sz w:val="32"/>
          <w:szCs w:val="32"/>
        </w:rPr>
        <w:t>90%</w:t>
      </w:r>
      <w:r>
        <w:rPr>
          <w:rFonts w:ascii="仿宋" w:hAnsi="仿宋" w:eastAsia="仿宋" w:cs="仿宋"/>
          <w:spacing w:val="-3"/>
          <w:sz w:val="32"/>
          <w:szCs w:val="32"/>
        </w:rPr>
        <w:t>以上、数据报送时限最长滞后时间不超</w:t>
      </w:r>
      <w:r>
        <w:rPr>
          <w:rFonts w:ascii="仿宋" w:hAnsi="仿宋" w:eastAsia="仿宋" w:cs="仿宋"/>
          <w:spacing w:val="-32"/>
          <w:sz w:val="32"/>
          <w:szCs w:val="32"/>
        </w:rPr>
        <w:t xml:space="preserve"> </w:t>
      </w:r>
      <w:r>
        <w:rPr>
          <w:rFonts w:ascii="Times New Roman" w:hAnsi="Times New Roman" w:eastAsia="Times New Roman" w:cs="Times New Roman"/>
          <w:spacing w:val="-3"/>
          <w:sz w:val="32"/>
          <w:szCs w:val="32"/>
        </w:rPr>
        <w:t>1</w:t>
      </w:r>
      <w:r>
        <w:rPr>
          <w:rFonts w:ascii="Times New Roman" w:hAnsi="Times New Roman" w:eastAsia="Times New Roman" w:cs="Times New Roman"/>
          <w:spacing w:val="21"/>
          <w:sz w:val="32"/>
          <w:szCs w:val="32"/>
        </w:rPr>
        <w:t xml:space="preserve"> </w:t>
      </w:r>
      <w:r>
        <w:rPr>
          <w:rFonts w:ascii="仿宋" w:hAnsi="仿宋" w:eastAsia="仿宋" w:cs="仿宋"/>
          <w:spacing w:val="-3"/>
          <w:sz w:val="32"/>
          <w:szCs w:val="32"/>
        </w:rPr>
        <w:t>天；储备粮、</w:t>
      </w:r>
      <w:r>
        <w:rPr>
          <w:rFonts w:ascii="仿宋" w:hAnsi="仿宋" w:eastAsia="仿宋" w:cs="仿宋"/>
          <w:spacing w:val="-137"/>
          <w:sz w:val="32"/>
          <w:szCs w:val="32"/>
        </w:rPr>
        <w:t xml:space="preserve"> </w:t>
      </w:r>
      <w:r>
        <w:rPr>
          <w:rFonts w:ascii="仿宋" w:hAnsi="仿宋" w:eastAsia="仿宋" w:cs="仿宋"/>
          <w:spacing w:val="-6"/>
          <w:sz w:val="32"/>
          <w:szCs w:val="32"/>
        </w:rPr>
        <w:t>军粮质量良好率达到</w:t>
      </w:r>
      <w:r>
        <w:rPr>
          <w:rFonts w:ascii="仿宋" w:hAnsi="仿宋" w:eastAsia="仿宋" w:cs="仿宋"/>
          <w:spacing w:val="-35"/>
          <w:sz w:val="32"/>
          <w:szCs w:val="32"/>
        </w:rPr>
        <w:t xml:space="preserve"> </w:t>
      </w:r>
      <w:r>
        <w:rPr>
          <w:rFonts w:ascii="Times New Roman" w:hAnsi="Times New Roman" w:eastAsia="Times New Roman" w:cs="Times New Roman"/>
          <w:spacing w:val="-6"/>
          <w:sz w:val="32"/>
          <w:szCs w:val="32"/>
        </w:rPr>
        <w:t>100%</w:t>
      </w:r>
      <w:r>
        <w:rPr>
          <w:rFonts w:ascii="仿宋" w:hAnsi="仿宋" w:eastAsia="仿宋" w:cs="仿宋"/>
          <w:spacing w:val="-6"/>
          <w:sz w:val="32"/>
          <w:szCs w:val="32"/>
        </w:rPr>
        <w:t>；应急保障率高于</w:t>
      </w:r>
      <w:r>
        <w:rPr>
          <w:rFonts w:ascii="仿宋" w:hAnsi="仿宋" w:eastAsia="仿宋" w:cs="仿宋"/>
          <w:spacing w:val="-65"/>
          <w:sz w:val="32"/>
          <w:szCs w:val="32"/>
        </w:rPr>
        <w:t xml:space="preserve"> </w:t>
      </w:r>
      <w:r>
        <w:rPr>
          <w:rFonts w:ascii="Times New Roman" w:hAnsi="Times New Roman" w:eastAsia="Times New Roman" w:cs="Times New Roman"/>
          <w:spacing w:val="-6"/>
          <w:sz w:val="32"/>
          <w:szCs w:val="32"/>
        </w:rPr>
        <w:t>90%</w:t>
      </w:r>
      <w:r>
        <w:rPr>
          <w:rFonts w:ascii="仿宋" w:hAnsi="仿宋" w:eastAsia="仿宋" w:cs="仿宋"/>
          <w:spacing w:val="-6"/>
          <w:sz w:val="32"/>
          <w:szCs w:val="32"/>
        </w:rPr>
        <w:t>；粮食供应应急</w:t>
      </w:r>
      <w:r>
        <w:rPr>
          <w:rFonts w:ascii="仿宋" w:hAnsi="仿宋" w:eastAsia="仿宋" w:cs="仿宋"/>
          <w:spacing w:val="22"/>
          <w:sz w:val="32"/>
          <w:szCs w:val="32"/>
        </w:rPr>
        <w:t xml:space="preserve"> </w:t>
      </w:r>
      <w:r>
        <w:rPr>
          <w:rFonts w:ascii="仿宋" w:hAnsi="仿宋" w:eastAsia="仿宋" w:cs="仿宋"/>
          <w:spacing w:val="-3"/>
          <w:sz w:val="32"/>
          <w:szCs w:val="32"/>
        </w:rPr>
        <w:t>网络建设完成率达到</w:t>
      </w:r>
      <w:r>
        <w:rPr>
          <w:rFonts w:ascii="Times New Roman" w:hAnsi="Times New Roman" w:eastAsia="Times New Roman" w:cs="Times New Roman"/>
          <w:spacing w:val="-3"/>
          <w:sz w:val="32"/>
          <w:szCs w:val="32"/>
        </w:rPr>
        <w:t>90%</w:t>
      </w:r>
      <w:r>
        <w:rPr>
          <w:rFonts w:ascii="仿宋" w:hAnsi="仿宋" w:eastAsia="仿宋" w:cs="仿宋"/>
          <w:spacing w:val="-3"/>
          <w:sz w:val="32"/>
          <w:szCs w:val="32"/>
        </w:rPr>
        <w:t>以上；仓储设施完好率保持在</w:t>
      </w:r>
      <w:r>
        <w:rPr>
          <w:rFonts w:ascii="仿宋" w:hAnsi="仿宋" w:eastAsia="仿宋" w:cs="仿宋"/>
          <w:spacing w:val="-31"/>
          <w:sz w:val="32"/>
          <w:szCs w:val="32"/>
        </w:rPr>
        <w:t xml:space="preserve"> </w:t>
      </w:r>
      <w:r>
        <w:rPr>
          <w:rFonts w:ascii="Times New Roman" w:hAnsi="Times New Roman" w:eastAsia="Times New Roman" w:cs="Times New Roman"/>
          <w:spacing w:val="-3"/>
          <w:sz w:val="32"/>
          <w:szCs w:val="32"/>
        </w:rPr>
        <w:t>85%</w:t>
      </w:r>
      <w:r>
        <w:rPr>
          <w:rFonts w:ascii="仿宋" w:hAnsi="仿宋" w:eastAsia="仿宋" w:cs="仿宋"/>
          <w:spacing w:val="-3"/>
          <w:sz w:val="32"/>
          <w:szCs w:val="32"/>
        </w:rPr>
        <w:t>以上。</w:t>
      </w:r>
    </w:p>
    <w:p>
      <w:pPr>
        <w:spacing w:before="264" w:line="204" w:lineRule="auto"/>
        <w:ind w:firstLine="788"/>
        <w:jc w:val="left"/>
        <w:rPr>
          <w:rFonts w:ascii="楷体" w:hAnsi="楷体" w:eastAsia="楷体" w:cs="楷体"/>
          <w:sz w:val="32"/>
          <w:szCs w:val="32"/>
        </w:rPr>
      </w:pPr>
      <w:r>
        <w:rPr>
          <w:rFonts w:ascii="楷体" w:hAnsi="楷体" w:eastAsia="楷体" w:cs="楷体"/>
          <w:spacing w:val="-19"/>
          <w:sz w:val="32"/>
          <w:szCs w:val="32"/>
        </w:rPr>
        <w:t>（九）</w:t>
      </w:r>
      <w:r>
        <w:rPr>
          <w:rFonts w:ascii="楷体" w:hAnsi="楷体" w:eastAsia="楷体" w:cs="楷体"/>
          <w:spacing w:val="-141"/>
          <w:sz w:val="32"/>
          <w:szCs w:val="32"/>
        </w:rPr>
        <w:t xml:space="preserve"> </w:t>
      </w:r>
      <w:r>
        <w:rPr>
          <w:rFonts w:ascii="楷体" w:hAnsi="楷体" w:eastAsia="楷体" w:cs="楷体"/>
          <w:spacing w:val="-19"/>
          <w:sz w:val="32"/>
          <w:szCs w:val="32"/>
        </w:rPr>
        <w:t>物资储备管理</w:t>
      </w:r>
    </w:p>
    <w:p>
      <w:pPr>
        <w:spacing w:before="233" w:line="336" w:lineRule="auto"/>
        <w:ind w:left="13" w:right="162" w:firstLine="638"/>
        <w:jc w:val="left"/>
        <w:rPr>
          <w:rFonts w:ascii="仿宋" w:hAnsi="仿宋" w:eastAsia="仿宋" w:cs="仿宋"/>
          <w:sz w:val="32"/>
          <w:szCs w:val="32"/>
        </w:rPr>
      </w:pPr>
      <w:r>
        <w:rPr>
          <w:rFonts w:ascii="仿宋" w:hAnsi="仿宋" w:eastAsia="仿宋" w:cs="仿宋"/>
          <w:spacing w:val="2"/>
          <w:sz w:val="32"/>
          <w:szCs w:val="32"/>
        </w:rPr>
        <w:t>绩效目标：开展本项目主要解决在我市以下发生自然灾害和</w:t>
      </w:r>
      <w:r>
        <w:rPr>
          <w:rFonts w:ascii="仿宋" w:hAnsi="仿宋" w:eastAsia="仿宋" w:cs="仿宋"/>
          <w:spacing w:val="-109"/>
          <w:sz w:val="32"/>
          <w:szCs w:val="32"/>
        </w:rPr>
        <w:t xml:space="preserve"> </w:t>
      </w:r>
      <w:r>
        <w:rPr>
          <w:rFonts w:ascii="仿宋" w:hAnsi="仿宋" w:eastAsia="仿宋" w:cs="仿宋"/>
          <w:spacing w:val="2"/>
          <w:sz w:val="32"/>
          <w:szCs w:val="32"/>
        </w:rPr>
        <w:t>突发公共事件时，确保对受灾群众实施紧急救助所需的救灾物资</w:t>
      </w:r>
      <w:r>
        <w:rPr>
          <w:rFonts w:ascii="仿宋" w:hAnsi="仿宋" w:eastAsia="仿宋" w:cs="仿宋"/>
          <w:spacing w:val="-3"/>
          <w:sz w:val="32"/>
          <w:szCs w:val="32"/>
        </w:rPr>
        <w:t>的日常储备及储备物资的质量安全。</w:t>
      </w:r>
    </w:p>
    <w:p>
      <w:pPr>
        <w:spacing w:before="230" w:line="336" w:lineRule="auto"/>
        <w:ind w:left="12" w:right="159" w:firstLine="643"/>
        <w:jc w:val="left"/>
        <w:rPr>
          <w:rFonts w:ascii="仿宋" w:hAnsi="仿宋" w:eastAsia="仿宋" w:cs="仿宋"/>
          <w:sz w:val="32"/>
          <w:szCs w:val="32"/>
        </w:rPr>
      </w:pPr>
      <w:r>
        <w:rPr>
          <w:rFonts w:ascii="仿宋" w:hAnsi="仿宋" w:eastAsia="仿宋" w:cs="仿宋"/>
          <w:spacing w:val="-2"/>
          <w:sz w:val="32"/>
          <w:szCs w:val="32"/>
        </w:rPr>
        <w:t>绩效指标：救灾物资质量完好率达到</w:t>
      </w:r>
      <w:r>
        <w:rPr>
          <w:rFonts w:ascii="仿宋" w:hAnsi="仿宋" w:eastAsia="仿宋" w:cs="仿宋"/>
          <w:spacing w:val="32"/>
          <w:sz w:val="32"/>
          <w:szCs w:val="32"/>
        </w:rPr>
        <w:t xml:space="preserve"> </w:t>
      </w:r>
      <w:r>
        <w:rPr>
          <w:rFonts w:ascii="Times New Roman" w:hAnsi="Times New Roman" w:eastAsia="Times New Roman" w:cs="Times New Roman"/>
          <w:spacing w:val="-2"/>
          <w:sz w:val="32"/>
          <w:szCs w:val="32"/>
        </w:rPr>
        <w:t>90%</w:t>
      </w:r>
      <w:r>
        <w:rPr>
          <w:rFonts w:ascii="仿宋" w:hAnsi="仿宋" w:eastAsia="仿宋" w:cs="仿宋"/>
          <w:spacing w:val="-2"/>
          <w:sz w:val="32"/>
          <w:szCs w:val="32"/>
        </w:rPr>
        <w:t>以上；救灾物资购</w:t>
      </w:r>
      <w:r>
        <w:rPr>
          <w:rFonts w:ascii="仿宋" w:hAnsi="仿宋" w:eastAsia="仿宋" w:cs="仿宋"/>
          <w:spacing w:val="-140"/>
          <w:sz w:val="32"/>
          <w:szCs w:val="32"/>
        </w:rPr>
        <w:t xml:space="preserve"> </w:t>
      </w:r>
      <w:r>
        <w:rPr>
          <w:rFonts w:ascii="仿宋" w:hAnsi="仿宋" w:eastAsia="仿宋" w:cs="仿宋"/>
          <w:spacing w:val="-2"/>
          <w:sz w:val="32"/>
          <w:szCs w:val="32"/>
        </w:rPr>
        <w:t>置数量按合同约定按时按量购置齐全等。</w:t>
      </w:r>
    </w:p>
    <w:p>
      <w:pPr>
        <w:spacing w:before="2" w:line="204" w:lineRule="auto"/>
        <w:ind w:firstLine="792"/>
        <w:jc w:val="left"/>
        <w:rPr>
          <w:rFonts w:ascii="楷体" w:hAnsi="楷体" w:eastAsia="楷体" w:cs="楷体"/>
          <w:sz w:val="32"/>
          <w:szCs w:val="32"/>
        </w:rPr>
      </w:pPr>
      <w:r>
        <w:rPr>
          <w:rFonts w:ascii="楷体" w:hAnsi="楷体" w:eastAsia="楷体" w:cs="楷体"/>
          <w:spacing w:val="-13"/>
          <w:sz w:val="32"/>
          <w:szCs w:val="32"/>
        </w:rPr>
        <w:t>（十）</w:t>
      </w:r>
      <w:r>
        <w:rPr>
          <w:rFonts w:ascii="楷体" w:hAnsi="楷体" w:eastAsia="楷体" w:cs="楷体"/>
          <w:spacing w:val="-151"/>
          <w:sz w:val="32"/>
          <w:szCs w:val="32"/>
        </w:rPr>
        <w:t xml:space="preserve"> </w:t>
      </w:r>
      <w:r>
        <w:rPr>
          <w:rFonts w:ascii="楷体" w:hAnsi="楷体" w:eastAsia="楷体" w:cs="楷体"/>
          <w:spacing w:val="-13"/>
          <w:sz w:val="32"/>
          <w:szCs w:val="32"/>
        </w:rPr>
        <w:t>人民政府网运行维护</w:t>
      </w:r>
    </w:p>
    <w:p>
      <w:pPr>
        <w:spacing w:before="230" w:line="286" w:lineRule="auto"/>
        <w:ind w:left="7" w:right="161" w:firstLine="647"/>
        <w:jc w:val="left"/>
        <w:rPr>
          <w:rFonts w:ascii="仿宋" w:hAnsi="仿宋" w:eastAsia="仿宋" w:cs="仿宋"/>
          <w:sz w:val="32"/>
          <w:szCs w:val="32"/>
        </w:rPr>
      </w:pPr>
      <w:r>
        <w:rPr>
          <w:rFonts w:ascii="仿宋" w:hAnsi="仿宋" w:eastAsia="仿宋" w:cs="仿宋"/>
          <w:spacing w:val="-9"/>
          <w:sz w:val="32"/>
          <w:szCs w:val="32"/>
        </w:rPr>
        <w:t>绩效目标：保障廊坊市人民政府网、发改委网、政府信息公开</w:t>
      </w:r>
      <w:r>
        <w:rPr>
          <w:rFonts w:ascii="仿宋" w:hAnsi="仿宋" w:eastAsia="仿宋" w:cs="仿宋"/>
          <w:spacing w:val="-134"/>
          <w:sz w:val="32"/>
          <w:szCs w:val="32"/>
        </w:rPr>
        <w:t xml:space="preserve"> </w:t>
      </w:r>
      <w:r>
        <w:rPr>
          <w:rFonts w:ascii="仿宋" w:hAnsi="仿宋" w:eastAsia="仿宋" w:cs="仿宋"/>
          <w:spacing w:val="-8"/>
          <w:sz w:val="32"/>
          <w:szCs w:val="32"/>
        </w:rPr>
        <w:t>平台、廊坊市人民政府网邮件系统正常运转、网络安全得到基本保</w:t>
      </w:r>
      <w:r>
        <w:rPr>
          <w:rFonts w:ascii="仿宋" w:hAnsi="仿宋" w:eastAsia="仿宋" w:cs="仿宋"/>
          <w:spacing w:val="-137"/>
          <w:sz w:val="32"/>
          <w:szCs w:val="32"/>
        </w:rPr>
        <w:t xml:space="preserve"> </w:t>
      </w:r>
      <w:r>
        <w:rPr>
          <w:rFonts w:ascii="仿宋" w:hAnsi="仿宋" w:eastAsia="仿宋" w:cs="仿宋"/>
          <w:spacing w:val="-2"/>
          <w:sz w:val="32"/>
          <w:szCs w:val="32"/>
        </w:rPr>
        <w:t>障，市直各局网站得到有效监测。</w:t>
      </w:r>
    </w:p>
    <w:p>
      <w:pPr>
        <w:spacing w:before="264" w:line="250" w:lineRule="auto"/>
        <w:ind w:left="27" w:right="159" w:firstLine="628"/>
        <w:jc w:val="left"/>
        <w:rPr>
          <w:rFonts w:ascii="仿宋" w:hAnsi="仿宋" w:eastAsia="仿宋" w:cs="仿宋"/>
          <w:sz w:val="32"/>
          <w:szCs w:val="32"/>
        </w:rPr>
      </w:pPr>
      <w:r>
        <w:rPr>
          <w:rFonts w:ascii="仿宋" w:hAnsi="仿宋" w:eastAsia="仿宋" w:cs="仿宋"/>
          <w:spacing w:val="-9"/>
          <w:sz w:val="32"/>
          <w:szCs w:val="32"/>
        </w:rPr>
        <w:t>绩效指标：年度运行维护数量全部完成，系统正常运转率达到</w:t>
      </w:r>
      <w:r>
        <w:rPr>
          <w:rFonts w:ascii="仿宋" w:hAnsi="仿宋" w:eastAsia="仿宋" w:cs="仿宋"/>
          <w:spacing w:val="-132"/>
          <w:sz w:val="32"/>
          <w:szCs w:val="32"/>
        </w:rPr>
        <w:t xml:space="preserve"> </w:t>
      </w:r>
      <w:r>
        <w:rPr>
          <w:rFonts w:ascii="Times New Roman" w:hAnsi="Times New Roman" w:eastAsia="Times New Roman" w:cs="Times New Roman"/>
          <w:spacing w:val="-8"/>
          <w:sz w:val="32"/>
          <w:szCs w:val="32"/>
        </w:rPr>
        <w:t>100%</w:t>
      </w:r>
      <w:r>
        <w:rPr>
          <w:rFonts w:ascii="Times New Roman" w:hAnsi="Times New Roman" w:eastAsia="Times New Roman" w:cs="Times New Roman"/>
          <w:spacing w:val="-43"/>
          <w:sz w:val="32"/>
          <w:szCs w:val="32"/>
        </w:rPr>
        <w:t xml:space="preserve"> </w:t>
      </w:r>
      <w:r>
        <w:rPr>
          <w:rFonts w:ascii="仿宋" w:hAnsi="仿宋" w:eastAsia="仿宋" w:cs="仿宋"/>
          <w:spacing w:val="-8"/>
          <w:sz w:val="32"/>
          <w:szCs w:val="32"/>
        </w:rPr>
        <w:t>。</w:t>
      </w:r>
    </w:p>
    <w:p>
      <w:pPr>
        <w:spacing w:before="302" w:line="204" w:lineRule="auto"/>
        <w:ind w:firstLine="792"/>
        <w:jc w:val="left"/>
        <w:rPr>
          <w:rFonts w:ascii="楷体" w:hAnsi="楷体" w:eastAsia="楷体" w:cs="楷体"/>
          <w:sz w:val="32"/>
          <w:szCs w:val="32"/>
        </w:rPr>
      </w:pPr>
      <w:r>
        <w:rPr>
          <w:rFonts w:ascii="楷体" w:hAnsi="楷体" w:eastAsia="楷体" w:cs="楷体"/>
          <w:spacing w:val="-8"/>
          <w:sz w:val="32"/>
          <w:szCs w:val="32"/>
        </w:rPr>
        <w:t>（十一）</w:t>
      </w:r>
      <w:r>
        <w:rPr>
          <w:rFonts w:ascii="楷体" w:hAnsi="楷体" w:eastAsia="楷体" w:cs="楷体"/>
          <w:spacing w:val="-138"/>
          <w:sz w:val="32"/>
          <w:szCs w:val="32"/>
        </w:rPr>
        <w:t xml:space="preserve"> </w:t>
      </w:r>
      <w:r>
        <w:rPr>
          <w:rFonts w:ascii="楷体" w:hAnsi="楷体" w:eastAsia="楷体" w:cs="楷体"/>
          <w:spacing w:val="-8"/>
          <w:sz w:val="32"/>
          <w:szCs w:val="32"/>
        </w:rPr>
        <w:t>廊坊市集中隔离医学观察点疫情防控</w:t>
      </w:r>
    </w:p>
    <w:p>
      <w:pPr>
        <w:spacing w:before="230" w:line="336" w:lineRule="auto"/>
        <w:ind w:left="10" w:right="161" w:firstLine="645"/>
        <w:jc w:val="left"/>
        <w:rPr>
          <w:rFonts w:ascii="仿宋" w:hAnsi="仿宋" w:eastAsia="仿宋" w:cs="仿宋"/>
          <w:sz w:val="32"/>
          <w:szCs w:val="32"/>
        </w:rPr>
      </w:pPr>
      <w:r>
        <w:rPr>
          <w:rFonts w:ascii="仿宋" w:hAnsi="仿宋" w:eastAsia="仿宋" w:cs="仿宋"/>
          <w:spacing w:val="-9"/>
          <w:sz w:val="32"/>
          <w:szCs w:val="32"/>
        </w:rPr>
        <w:t>绩效目标：为积极应对新冠肺炎疫情，为做好市秋冬疫情防控</w:t>
      </w:r>
      <w:r>
        <w:rPr>
          <w:rFonts w:ascii="仿宋" w:hAnsi="仿宋" w:eastAsia="仿宋" w:cs="仿宋"/>
          <w:spacing w:val="-134"/>
          <w:sz w:val="32"/>
          <w:szCs w:val="32"/>
        </w:rPr>
        <w:t xml:space="preserve"> </w:t>
      </w:r>
      <w:r>
        <w:rPr>
          <w:rFonts w:ascii="仿宋" w:hAnsi="仿宋" w:eastAsia="仿宋" w:cs="仿宋"/>
          <w:spacing w:val="-2"/>
          <w:sz w:val="32"/>
          <w:szCs w:val="32"/>
        </w:rPr>
        <w:t>工作确保我市集中隔离医学观察点正常运行。</w:t>
      </w:r>
    </w:p>
    <w:p>
      <w:pPr>
        <w:spacing w:line="584" w:lineRule="exact"/>
        <w:ind w:firstLine="620" w:firstLineChars="200"/>
        <w:rPr>
          <w:rFonts w:ascii="仿宋" w:hAnsi="仿宋" w:eastAsia="仿宋" w:cs="仿宋"/>
          <w:spacing w:val="-5"/>
          <w:sz w:val="32"/>
          <w:szCs w:val="32"/>
        </w:rPr>
      </w:pPr>
      <w:r>
        <w:rPr>
          <w:rFonts w:ascii="仿宋" w:hAnsi="仿宋" w:eastAsia="仿宋" w:cs="仿宋"/>
          <w:spacing w:val="-5"/>
          <w:sz w:val="32"/>
          <w:szCs w:val="32"/>
        </w:rPr>
        <w:t>绩效指标：保障</w:t>
      </w:r>
      <w:r>
        <w:rPr>
          <w:rFonts w:ascii="仿宋" w:hAnsi="仿宋" w:eastAsia="仿宋" w:cs="仿宋"/>
          <w:spacing w:val="-36"/>
          <w:sz w:val="32"/>
          <w:szCs w:val="32"/>
        </w:rPr>
        <w:t xml:space="preserve"> </w:t>
      </w:r>
      <w:r>
        <w:rPr>
          <w:rFonts w:ascii="Times New Roman" w:hAnsi="Times New Roman" w:eastAsia="Times New Roman" w:cs="Times New Roman"/>
          <w:spacing w:val="-5"/>
          <w:sz w:val="32"/>
          <w:szCs w:val="32"/>
        </w:rPr>
        <w:t>1</w:t>
      </w:r>
      <w:r>
        <w:rPr>
          <w:rFonts w:ascii="仿宋" w:hAnsi="仿宋" w:eastAsia="仿宋" w:cs="仿宋"/>
          <w:spacing w:val="-5"/>
          <w:sz w:val="32"/>
          <w:szCs w:val="32"/>
        </w:rPr>
        <w:t>个以上隔离医学观察点疫情防控正常运行。</w:t>
      </w:r>
    </w:p>
    <w:p>
      <w:pPr>
        <w:spacing w:line="584" w:lineRule="exact"/>
        <w:ind w:firstLine="643" w:firstLineChars="200"/>
        <w:rPr>
          <w:rFonts w:ascii="楷体_GB2312" w:eastAsia="楷体_GB2312" w:cs="Times New Roman"/>
          <w:b/>
          <w:sz w:val="32"/>
          <w:szCs w:val="32"/>
        </w:rPr>
      </w:pPr>
      <w:r>
        <w:rPr>
          <w:rFonts w:hint="eastAsia" w:ascii="楷体_GB2312" w:eastAsia="楷体_GB2312" w:cs="Times New Roman"/>
          <w:b/>
          <w:sz w:val="32"/>
          <w:szCs w:val="32"/>
        </w:rPr>
        <w:t>（三）工作保障措施</w:t>
      </w:r>
    </w:p>
    <w:p>
      <w:pPr>
        <w:spacing w:before="229" w:line="337" w:lineRule="auto"/>
        <w:ind w:right="1" w:firstLine="792"/>
        <w:jc w:val="left"/>
        <w:rPr>
          <w:rFonts w:ascii="仿宋" w:hAnsi="仿宋" w:eastAsia="仿宋" w:cs="仿宋"/>
          <w:sz w:val="32"/>
          <w:szCs w:val="32"/>
        </w:rPr>
      </w:pPr>
      <w:r>
        <w:rPr>
          <w:rFonts w:ascii="楷体" w:hAnsi="楷体" w:eastAsia="楷体" w:cs="楷体"/>
          <w:spacing w:val="-25"/>
          <w:sz w:val="32"/>
          <w:szCs w:val="32"/>
        </w:rPr>
        <w:t>（一）完善制度建设。</w:t>
      </w:r>
      <w:r>
        <w:rPr>
          <w:rFonts w:ascii="仿宋" w:hAnsi="仿宋" w:eastAsia="仿宋" w:cs="仿宋"/>
          <w:spacing w:val="-25"/>
          <w:sz w:val="32"/>
          <w:szCs w:val="32"/>
        </w:rPr>
        <w:t>按照《中华人民共和国预算法》、《市本</w:t>
      </w:r>
      <w:r>
        <w:rPr>
          <w:rFonts w:ascii="仿宋" w:hAnsi="仿宋" w:eastAsia="仿宋" w:cs="仿宋"/>
          <w:spacing w:val="25"/>
          <w:sz w:val="32"/>
          <w:szCs w:val="32"/>
        </w:rPr>
        <w:t xml:space="preserve"> </w:t>
      </w:r>
      <w:r>
        <w:rPr>
          <w:rFonts w:ascii="仿宋" w:hAnsi="仿宋" w:eastAsia="仿宋" w:cs="仿宋"/>
          <w:spacing w:val="3"/>
          <w:sz w:val="32"/>
          <w:szCs w:val="32"/>
        </w:rPr>
        <w:t>级基本支出预算管理办法》和财政部门的要求制定本单位预算管</w:t>
      </w:r>
      <w:r>
        <w:rPr>
          <w:rFonts w:ascii="仿宋" w:hAnsi="仿宋" w:eastAsia="仿宋" w:cs="仿宋"/>
          <w:spacing w:val="34"/>
          <w:sz w:val="32"/>
          <w:szCs w:val="32"/>
        </w:rPr>
        <w:t xml:space="preserve"> </w:t>
      </w:r>
      <w:r>
        <w:rPr>
          <w:rFonts w:ascii="仿宋" w:hAnsi="仿宋" w:eastAsia="仿宋" w:cs="仿宋"/>
          <w:spacing w:val="-5"/>
          <w:sz w:val="32"/>
          <w:szCs w:val="32"/>
        </w:rPr>
        <w:t>理制度。</w:t>
      </w:r>
      <w:r>
        <w:rPr>
          <w:rFonts w:ascii="Times New Roman" w:hAnsi="Times New Roman" w:eastAsia="Times New Roman" w:cs="Times New Roman"/>
          <w:spacing w:val="-5"/>
          <w:sz w:val="32"/>
          <w:szCs w:val="32"/>
        </w:rPr>
        <w:t>1.</w:t>
      </w:r>
      <w:r>
        <w:rPr>
          <w:rFonts w:ascii="仿宋" w:hAnsi="仿宋" w:eastAsia="仿宋" w:cs="仿宋"/>
          <w:spacing w:val="-5"/>
          <w:sz w:val="32"/>
          <w:szCs w:val="32"/>
        </w:rPr>
        <w:t>预算编制内容包括：基本支出预算和项目支出预算。基</w:t>
      </w:r>
      <w:r>
        <w:rPr>
          <w:rFonts w:ascii="仿宋" w:hAnsi="仿宋" w:eastAsia="仿宋" w:cs="仿宋"/>
          <w:spacing w:val="28"/>
          <w:sz w:val="32"/>
          <w:szCs w:val="32"/>
        </w:rPr>
        <w:t xml:space="preserve"> </w:t>
      </w:r>
      <w:r>
        <w:rPr>
          <w:rFonts w:ascii="仿宋" w:hAnsi="仿宋" w:eastAsia="仿宋" w:cs="仿宋"/>
          <w:spacing w:val="3"/>
          <w:sz w:val="32"/>
          <w:szCs w:val="32"/>
        </w:rPr>
        <w:t>本支出预算是预算单位为保障其机构正常运转、完成日常工作任</w:t>
      </w:r>
      <w:r>
        <w:rPr>
          <w:rFonts w:ascii="仿宋" w:hAnsi="仿宋" w:eastAsia="仿宋" w:cs="仿宋"/>
          <w:spacing w:val="34"/>
          <w:sz w:val="32"/>
          <w:szCs w:val="32"/>
        </w:rPr>
        <w:t xml:space="preserve"> </w:t>
      </w:r>
      <w:r>
        <w:rPr>
          <w:rFonts w:ascii="仿宋" w:hAnsi="仿宋" w:eastAsia="仿宋" w:cs="仿宋"/>
          <w:spacing w:val="-3"/>
          <w:sz w:val="32"/>
          <w:szCs w:val="32"/>
        </w:rPr>
        <w:t>务而编制的年度基本支出计划，包括人员经费和公用经费两部分。</w:t>
      </w:r>
      <w:r>
        <w:rPr>
          <w:rFonts w:ascii="仿宋" w:hAnsi="仿宋" w:eastAsia="仿宋" w:cs="仿宋"/>
          <w:spacing w:val="-115"/>
          <w:sz w:val="32"/>
          <w:szCs w:val="32"/>
        </w:rPr>
        <w:t xml:space="preserve"> </w:t>
      </w:r>
      <w:r>
        <w:rPr>
          <w:rFonts w:ascii="仿宋" w:hAnsi="仿宋" w:eastAsia="仿宋" w:cs="仿宋"/>
          <w:spacing w:val="3"/>
          <w:sz w:val="32"/>
          <w:szCs w:val="32"/>
        </w:rPr>
        <w:t>项目支出预算是预算单位为完成其特定的行政工作任务或事业发</w:t>
      </w:r>
      <w:r>
        <w:rPr>
          <w:rFonts w:ascii="仿宋" w:hAnsi="仿宋" w:eastAsia="仿宋" w:cs="仿宋"/>
          <w:spacing w:val="34"/>
          <w:sz w:val="32"/>
          <w:szCs w:val="32"/>
        </w:rPr>
        <w:t xml:space="preserve"> </w:t>
      </w:r>
      <w:r>
        <w:rPr>
          <w:rFonts w:ascii="仿宋" w:hAnsi="仿宋" w:eastAsia="仿宋" w:cs="仿宋"/>
          <w:spacing w:val="-5"/>
          <w:sz w:val="32"/>
          <w:szCs w:val="32"/>
        </w:rPr>
        <w:t>展目标，在基本支出预算之外编制的年度项目支出计划。</w:t>
      </w:r>
      <w:r>
        <w:rPr>
          <w:rFonts w:ascii="Times New Roman" w:hAnsi="Times New Roman" w:eastAsia="Times New Roman" w:cs="Times New Roman"/>
          <w:spacing w:val="-5"/>
          <w:sz w:val="32"/>
          <w:szCs w:val="32"/>
        </w:rPr>
        <w:t>2.</w:t>
      </w:r>
      <w:r>
        <w:rPr>
          <w:rFonts w:ascii="仿宋" w:hAnsi="仿宋" w:eastAsia="仿宋" w:cs="仿宋"/>
          <w:spacing w:val="-5"/>
          <w:sz w:val="32"/>
          <w:szCs w:val="32"/>
        </w:rPr>
        <w:t>预算编</w:t>
      </w:r>
      <w:r>
        <w:rPr>
          <w:rFonts w:ascii="仿宋" w:hAnsi="仿宋" w:eastAsia="仿宋" w:cs="仿宋"/>
          <w:spacing w:val="28"/>
          <w:sz w:val="32"/>
          <w:szCs w:val="32"/>
        </w:rPr>
        <w:t xml:space="preserve"> </w:t>
      </w:r>
      <w:r>
        <w:rPr>
          <w:rFonts w:ascii="仿宋" w:hAnsi="仿宋" w:eastAsia="仿宋" w:cs="仿宋"/>
          <w:spacing w:val="3"/>
          <w:sz w:val="32"/>
          <w:szCs w:val="32"/>
        </w:rPr>
        <w:t>制严格按照预算编制基本原则进行编制，项目预算各科室及局所</w:t>
      </w:r>
      <w:r>
        <w:rPr>
          <w:rFonts w:ascii="仿宋" w:hAnsi="仿宋" w:eastAsia="仿宋" w:cs="仿宋"/>
          <w:spacing w:val="34"/>
          <w:sz w:val="32"/>
          <w:szCs w:val="32"/>
        </w:rPr>
        <w:t xml:space="preserve"> </w:t>
      </w:r>
      <w:r>
        <w:rPr>
          <w:rFonts w:ascii="仿宋" w:hAnsi="仿宋" w:eastAsia="仿宋" w:cs="仿宋"/>
          <w:spacing w:val="-8"/>
          <w:sz w:val="32"/>
          <w:szCs w:val="32"/>
        </w:rPr>
        <w:t>属单位应做到：一是要认真谋划下年度重点工作及目标任务，确保</w:t>
      </w:r>
      <w:r>
        <w:rPr>
          <w:rFonts w:ascii="仿宋" w:hAnsi="仿宋" w:eastAsia="仿宋" w:cs="仿宋"/>
          <w:spacing w:val="-9"/>
          <w:sz w:val="32"/>
          <w:szCs w:val="32"/>
        </w:rPr>
        <w:t>工作全面、科学，符合上级要求和我市实际。二是预算编制须提供</w:t>
      </w:r>
      <w:r>
        <w:rPr>
          <w:rFonts w:ascii="仿宋" w:hAnsi="仿宋" w:eastAsia="仿宋" w:cs="仿宋"/>
          <w:spacing w:val="-109"/>
          <w:sz w:val="32"/>
          <w:szCs w:val="32"/>
        </w:rPr>
        <w:t xml:space="preserve"> </w:t>
      </w:r>
      <w:r>
        <w:rPr>
          <w:rFonts w:ascii="仿宋" w:hAnsi="仿宋" w:eastAsia="仿宋" w:cs="仿宋"/>
          <w:spacing w:val="-8"/>
          <w:sz w:val="32"/>
          <w:szCs w:val="32"/>
        </w:rPr>
        <w:t>相关政策、法律法规文件等作为项目审核立项的重要依据，如无依</w:t>
      </w:r>
      <w:r>
        <w:rPr>
          <w:rFonts w:ascii="仿宋" w:hAnsi="仿宋" w:eastAsia="仿宋" w:cs="仿宋"/>
          <w:spacing w:val="-126"/>
          <w:sz w:val="32"/>
          <w:szCs w:val="32"/>
        </w:rPr>
        <w:t xml:space="preserve"> </w:t>
      </w:r>
      <w:r>
        <w:rPr>
          <w:rFonts w:ascii="仿宋" w:hAnsi="仿宋" w:eastAsia="仿宋" w:cs="仿宋"/>
          <w:spacing w:val="3"/>
          <w:sz w:val="32"/>
          <w:szCs w:val="32"/>
        </w:rPr>
        <w:t>据，但确实为工作需要的需上报市委市政府等上级领导部门审批</w:t>
      </w:r>
      <w:r>
        <w:rPr>
          <w:rFonts w:ascii="仿宋" w:hAnsi="仿宋" w:eastAsia="仿宋" w:cs="仿宋"/>
          <w:spacing w:val="-122"/>
          <w:sz w:val="32"/>
          <w:szCs w:val="32"/>
        </w:rPr>
        <w:t xml:space="preserve"> </w:t>
      </w:r>
      <w:r>
        <w:rPr>
          <w:rFonts w:ascii="仿宋" w:hAnsi="仿宋" w:eastAsia="仿宋" w:cs="仿宋"/>
          <w:spacing w:val="3"/>
          <w:sz w:val="32"/>
          <w:szCs w:val="32"/>
        </w:rPr>
        <w:t>立项。三是预算绩效明确，主要填报事项包括职责活动、内容描</w:t>
      </w:r>
      <w:r>
        <w:rPr>
          <w:rFonts w:ascii="仿宋" w:hAnsi="仿宋" w:eastAsia="仿宋" w:cs="仿宋"/>
          <w:spacing w:val="-122"/>
          <w:sz w:val="32"/>
          <w:szCs w:val="32"/>
        </w:rPr>
        <w:t xml:space="preserve"> </w:t>
      </w:r>
      <w:r>
        <w:rPr>
          <w:rFonts w:ascii="仿宋" w:hAnsi="仿宋" w:eastAsia="仿宋" w:cs="仿宋"/>
          <w:spacing w:val="-8"/>
          <w:sz w:val="32"/>
          <w:szCs w:val="32"/>
        </w:rPr>
        <w:t>述、绩效目标、绩效指标及优良中差等评价标准。四是预算资金构</w:t>
      </w:r>
      <w:r>
        <w:rPr>
          <w:rFonts w:ascii="仿宋" w:hAnsi="仿宋" w:eastAsia="仿宋" w:cs="仿宋"/>
          <w:spacing w:val="-126"/>
          <w:sz w:val="32"/>
          <w:szCs w:val="32"/>
        </w:rPr>
        <w:t xml:space="preserve"> </w:t>
      </w:r>
      <w:r>
        <w:rPr>
          <w:rFonts w:ascii="仿宋" w:hAnsi="仿宋" w:eastAsia="仿宋" w:cs="仿宋"/>
          <w:spacing w:val="-8"/>
          <w:sz w:val="32"/>
          <w:szCs w:val="32"/>
        </w:rPr>
        <w:t>成合理，预算额度须有明确的资金支出构成，不同的经费支出需列</w:t>
      </w:r>
      <w:r>
        <w:rPr>
          <w:rFonts w:ascii="仿宋" w:hAnsi="仿宋" w:eastAsia="仿宋" w:cs="仿宋"/>
          <w:spacing w:val="-126"/>
          <w:sz w:val="32"/>
          <w:szCs w:val="32"/>
        </w:rPr>
        <w:t xml:space="preserve"> </w:t>
      </w:r>
      <w:r>
        <w:rPr>
          <w:rFonts w:ascii="仿宋" w:hAnsi="仿宋" w:eastAsia="仿宋" w:cs="仿宋"/>
          <w:spacing w:val="-8"/>
          <w:sz w:val="32"/>
          <w:szCs w:val="32"/>
        </w:rPr>
        <w:t>出各自的金额，特别是对政府采购事项的支出，务必要标记出其采</w:t>
      </w:r>
      <w:r>
        <w:rPr>
          <w:rFonts w:ascii="仿宋" w:hAnsi="仿宋" w:eastAsia="仿宋" w:cs="仿宋"/>
          <w:spacing w:val="-126"/>
          <w:sz w:val="32"/>
          <w:szCs w:val="32"/>
        </w:rPr>
        <w:t xml:space="preserve"> </w:t>
      </w:r>
      <w:r>
        <w:rPr>
          <w:rFonts w:ascii="仿宋" w:hAnsi="仿宋" w:eastAsia="仿宋" w:cs="仿宋"/>
          <w:spacing w:val="-3"/>
          <w:sz w:val="32"/>
          <w:szCs w:val="32"/>
        </w:rPr>
        <w:t>购内容及采购类型。预算经市人大批准并下达到我单位后，</w:t>
      </w:r>
      <w:r>
        <w:rPr>
          <w:rFonts w:ascii="Times New Roman" w:hAnsi="Times New Roman" w:eastAsia="Times New Roman" w:cs="Times New Roman"/>
          <w:spacing w:val="-3"/>
          <w:sz w:val="32"/>
          <w:szCs w:val="32"/>
        </w:rPr>
        <w:t>20</w:t>
      </w:r>
      <w:r>
        <w:rPr>
          <w:rFonts w:ascii="仿宋" w:hAnsi="仿宋" w:eastAsia="仿宋" w:cs="仿宋"/>
          <w:spacing w:val="-3"/>
          <w:sz w:val="32"/>
          <w:szCs w:val="32"/>
        </w:rPr>
        <w:t>日</w:t>
      </w:r>
      <w:r>
        <w:rPr>
          <w:rFonts w:ascii="仿宋" w:hAnsi="仿宋" w:eastAsia="仿宋" w:cs="仿宋"/>
          <w:spacing w:val="-137"/>
          <w:sz w:val="32"/>
          <w:szCs w:val="32"/>
        </w:rPr>
        <w:t xml:space="preserve"> </w:t>
      </w:r>
      <w:r>
        <w:rPr>
          <w:rFonts w:ascii="仿宋" w:hAnsi="仿宋" w:eastAsia="仿宋" w:cs="仿宋"/>
          <w:spacing w:val="-1"/>
          <w:sz w:val="32"/>
          <w:szCs w:val="32"/>
        </w:rPr>
        <w:t>内在政府门户网站公开进行信息公开。</w:t>
      </w:r>
    </w:p>
    <w:p>
      <w:pPr>
        <w:spacing w:before="12" w:line="317" w:lineRule="auto"/>
        <w:ind w:firstLine="795"/>
        <w:jc w:val="left"/>
        <w:rPr>
          <w:rFonts w:ascii="仿宋" w:hAnsi="仿宋" w:eastAsia="仿宋" w:cs="仿宋"/>
          <w:sz w:val="32"/>
          <w:szCs w:val="32"/>
        </w:rPr>
      </w:pPr>
      <w:r>
        <w:rPr>
          <w:rFonts w:ascii="楷体" w:hAnsi="楷体" w:eastAsia="楷体" w:cs="楷体"/>
          <w:spacing w:val="-6"/>
          <w:sz w:val="32"/>
          <w:szCs w:val="32"/>
        </w:rPr>
        <w:t>（二）</w:t>
      </w:r>
      <w:r>
        <w:rPr>
          <w:rFonts w:ascii="楷体" w:hAnsi="楷体" w:eastAsia="楷体" w:cs="楷体"/>
          <w:spacing w:val="-140"/>
          <w:sz w:val="32"/>
          <w:szCs w:val="32"/>
        </w:rPr>
        <w:t xml:space="preserve"> </w:t>
      </w:r>
      <w:r>
        <w:rPr>
          <w:rFonts w:ascii="楷体" w:hAnsi="楷体" w:eastAsia="楷体" w:cs="楷体"/>
          <w:spacing w:val="-6"/>
          <w:sz w:val="32"/>
          <w:szCs w:val="32"/>
        </w:rPr>
        <w:t>加强支出管理。</w:t>
      </w:r>
      <w:r>
        <w:rPr>
          <w:rFonts w:ascii="Times New Roman" w:hAnsi="Times New Roman" w:eastAsia="Times New Roman" w:cs="Times New Roman"/>
          <w:spacing w:val="-6"/>
          <w:sz w:val="32"/>
          <w:szCs w:val="32"/>
        </w:rPr>
        <w:t>1.</w:t>
      </w:r>
      <w:r>
        <w:rPr>
          <w:rFonts w:ascii="仿宋" w:hAnsi="仿宋" w:eastAsia="仿宋" w:cs="仿宋"/>
          <w:spacing w:val="-6"/>
          <w:sz w:val="32"/>
          <w:szCs w:val="32"/>
        </w:rPr>
        <w:t>规范预算编制。深化零基预算改革，</w:t>
      </w:r>
      <w:r>
        <w:rPr>
          <w:rFonts w:ascii="仿宋" w:hAnsi="仿宋" w:eastAsia="仿宋" w:cs="仿宋"/>
          <w:spacing w:val="-140"/>
          <w:sz w:val="32"/>
          <w:szCs w:val="32"/>
        </w:rPr>
        <w:t xml:space="preserve"> </w:t>
      </w:r>
      <w:r>
        <w:rPr>
          <w:rFonts w:ascii="仿宋" w:hAnsi="仿宋" w:eastAsia="仿宋" w:cs="仿宋"/>
          <w:spacing w:val="-8"/>
          <w:sz w:val="32"/>
          <w:szCs w:val="32"/>
        </w:rPr>
        <w:t>加强项目库建设，所有项目的征集、评审、预算下达、公开均通过</w:t>
      </w:r>
      <w:r>
        <w:rPr>
          <w:rFonts w:ascii="仿宋" w:hAnsi="仿宋" w:eastAsia="仿宋" w:cs="仿宋"/>
          <w:spacing w:val="20"/>
          <w:sz w:val="32"/>
          <w:szCs w:val="32"/>
        </w:rPr>
        <w:t xml:space="preserve"> </w:t>
      </w:r>
      <w:r>
        <w:rPr>
          <w:rFonts w:ascii="仿宋" w:hAnsi="仿宋" w:eastAsia="仿宋" w:cs="仿宋"/>
          <w:spacing w:val="-8"/>
          <w:sz w:val="32"/>
          <w:szCs w:val="32"/>
        </w:rPr>
        <w:t>项目库实施；早编细编预算，减少预算代编和预留项目；合理提高</w:t>
      </w:r>
      <w:r>
        <w:rPr>
          <w:rFonts w:ascii="仿宋" w:hAnsi="仿宋" w:eastAsia="仿宋" w:cs="仿宋"/>
          <w:spacing w:val="20"/>
          <w:sz w:val="32"/>
          <w:szCs w:val="32"/>
        </w:rPr>
        <w:t xml:space="preserve"> </w:t>
      </w:r>
      <w:r>
        <w:rPr>
          <w:rFonts w:ascii="仿宋" w:hAnsi="仿宋" w:eastAsia="仿宋" w:cs="仿宋"/>
          <w:spacing w:val="-8"/>
          <w:sz w:val="32"/>
          <w:szCs w:val="32"/>
        </w:rPr>
        <w:t>基本支出经费定额标准；试编政府采购预算，全面反映各预算单位</w:t>
      </w:r>
      <w:r>
        <w:rPr>
          <w:rFonts w:ascii="仿宋" w:hAnsi="仿宋" w:eastAsia="仿宋" w:cs="仿宋"/>
          <w:spacing w:val="20"/>
          <w:sz w:val="32"/>
          <w:szCs w:val="32"/>
        </w:rPr>
        <w:t xml:space="preserve"> </w:t>
      </w:r>
      <w:r>
        <w:rPr>
          <w:rFonts w:ascii="仿宋" w:hAnsi="仿宋" w:eastAsia="仿宋" w:cs="仿宋"/>
          <w:spacing w:val="-1"/>
          <w:sz w:val="32"/>
          <w:szCs w:val="32"/>
        </w:rPr>
        <w:t>实施采购活动的计划。</w:t>
      </w:r>
      <w:r>
        <w:rPr>
          <w:rFonts w:ascii="Times New Roman" w:hAnsi="Times New Roman" w:eastAsia="Times New Roman" w:cs="Times New Roman"/>
          <w:spacing w:val="-1"/>
          <w:sz w:val="32"/>
          <w:szCs w:val="32"/>
        </w:rPr>
        <w:t>2.</w:t>
      </w:r>
      <w:r>
        <w:rPr>
          <w:rFonts w:ascii="仿宋" w:hAnsi="仿宋" w:eastAsia="仿宋" w:cs="仿宋"/>
          <w:spacing w:val="-1"/>
          <w:sz w:val="32"/>
          <w:szCs w:val="32"/>
        </w:rPr>
        <w:t>清理整合专项资金。规范专项资金设立，</w:t>
      </w:r>
      <w:r>
        <w:rPr>
          <w:rFonts w:ascii="仿宋" w:hAnsi="仿宋" w:eastAsia="仿宋" w:cs="仿宋"/>
          <w:spacing w:val="-102"/>
          <w:sz w:val="32"/>
          <w:szCs w:val="32"/>
        </w:rPr>
        <w:t xml:space="preserve"> </w:t>
      </w:r>
      <w:r>
        <w:rPr>
          <w:rFonts w:ascii="仿宋" w:hAnsi="仿宋" w:eastAsia="仿宋" w:cs="仿宋"/>
          <w:spacing w:val="-8"/>
          <w:sz w:val="32"/>
          <w:szCs w:val="32"/>
        </w:rPr>
        <w:t>对专项资金进行重新评估，对已到期、政策发生变化和没有项目支</w:t>
      </w:r>
      <w:r>
        <w:rPr>
          <w:rFonts w:ascii="仿宋" w:hAnsi="仿宋" w:eastAsia="仿宋" w:cs="仿宋"/>
          <w:spacing w:val="20"/>
          <w:sz w:val="32"/>
          <w:szCs w:val="32"/>
        </w:rPr>
        <w:t xml:space="preserve"> </w:t>
      </w:r>
      <w:r>
        <w:rPr>
          <w:rFonts w:ascii="仿宋" w:hAnsi="仿宋" w:eastAsia="仿宋" w:cs="仿宋"/>
          <w:spacing w:val="-8"/>
          <w:sz w:val="32"/>
          <w:szCs w:val="32"/>
        </w:rPr>
        <w:t>撑的，予以清理压减；推动部门内部、部门之间使用方向相近的资</w:t>
      </w:r>
      <w:r>
        <w:rPr>
          <w:rFonts w:ascii="仿宋" w:hAnsi="仿宋" w:eastAsia="仿宋" w:cs="仿宋"/>
          <w:spacing w:val="20"/>
          <w:sz w:val="32"/>
          <w:szCs w:val="32"/>
        </w:rPr>
        <w:t xml:space="preserve"> </w:t>
      </w:r>
      <w:r>
        <w:rPr>
          <w:rFonts w:ascii="仿宋" w:hAnsi="仿宋" w:eastAsia="仿宋" w:cs="仿宋"/>
          <w:spacing w:val="-3"/>
          <w:sz w:val="32"/>
          <w:szCs w:val="32"/>
        </w:rPr>
        <w:t>金整合，</w:t>
      </w:r>
      <w:r>
        <w:rPr>
          <w:rFonts w:ascii="仿宋" w:hAnsi="仿宋" w:eastAsia="仿宋" w:cs="仿宋"/>
          <w:spacing w:val="-121"/>
          <w:sz w:val="32"/>
          <w:szCs w:val="32"/>
        </w:rPr>
        <w:t xml:space="preserve"> </w:t>
      </w:r>
      <w:r>
        <w:rPr>
          <w:rFonts w:ascii="仿宋" w:hAnsi="仿宋" w:eastAsia="仿宋" w:cs="仿宋"/>
          <w:spacing w:val="-3"/>
          <w:sz w:val="32"/>
          <w:szCs w:val="32"/>
        </w:rPr>
        <w:t>原则上一个部门一个专项。</w:t>
      </w:r>
    </w:p>
    <w:p>
      <w:pPr>
        <w:spacing w:before="264" w:line="337" w:lineRule="auto"/>
        <w:ind w:left="3" w:right="146" w:firstLine="791"/>
        <w:jc w:val="left"/>
        <w:rPr>
          <w:rFonts w:ascii="仿宋" w:hAnsi="仿宋" w:eastAsia="仿宋" w:cs="仿宋"/>
          <w:sz w:val="32"/>
          <w:szCs w:val="32"/>
        </w:rPr>
      </w:pPr>
      <w:r>
        <w:rPr>
          <w:rFonts w:ascii="楷体" w:hAnsi="楷体" w:eastAsia="楷体" w:cs="楷体"/>
          <w:spacing w:val="-14"/>
          <w:sz w:val="32"/>
          <w:szCs w:val="32"/>
        </w:rPr>
        <w:t>（三）加强绩效运行监控。</w:t>
      </w:r>
      <w:r>
        <w:rPr>
          <w:rFonts w:ascii="仿宋" w:hAnsi="仿宋" w:eastAsia="仿宋" w:cs="仿宋"/>
          <w:spacing w:val="-14"/>
          <w:sz w:val="32"/>
          <w:szCs w:val="32"/>
        </w:rPr>
        <w:t>单位要加强绩效监控结果应用。对</w:t>
      </w:r>
      <w:r>
        <w:rPr>
          <w:rFonts w:ascii="仿宋" w:hAnsi="仿宋" w:eastAsia="仿宋" w:cs="仿宋"/>
          <w:spacing w:val="-136"/>
          <w:sz w:val="32"/>
          <w:szCs w:val="32"/>
        </w:rPr>
        <w:t xml:space="preserve"> </w:t>
      </w:r>
      <w:r>
        <w:rPr>
          <w:rFonts w:ascii="仿宋" w:hAnsi="仿宋" w:eastAsia="仿宋" w:cs="仿宋"/>
          <w:spacing w:val="3"/>
          <w:sz w:val="32"/>
          <w:szCs w:val="32"/>
        </w:rPr>
        <w:t>各科室绩效监控结果进行审核分析，对发现的问题和风险进行研</w:t>
      </w:r>
      <w:r>
        <w:rPr>
          <w:rFonts w:ascii="仿宋" w:hAnsi="仿宋" w:eastAsia="仿宋" w:cs="仿宋"/>
          <w:spacing w:val="-126"/>
          <w:sz w:val="32"/>
          <w:szCs w:val="32"/>
        </w:rPr>
        <w:t xml:space="preserve"> </w:t>
      </w:r>
      <w:r>
        <w:rPr>
          <w:rFonts w:ascii="仿宋" w:hAnsi="仿宋" w:eastAsia="仿宋" w:cs="仿宋"/>
          <w:spacing w:val="3"/>
          <w:sz w:val="32"/>
          <w:szCs w:val="32"/>
        </w:rPr>
        <w:t>判，督促相关部门改进管理，确保预算资金安全有效，保障党中</w:t>
      </w:r>
      <w:r>
        <w:rPr>
          <w:rFonts w:ascii="仿宋" w:hAnsi="仿宋" w:eastAsia="仿宋" w:cs="仿宋"/>
          <w:spacing w:val="-126"/>
          <w:sz w:val="32"/>
          <w:szCs w:val="32"/>
        </w:rPr>
        <w:t xml:space="preserve"> </w:t>
      </w:r>
      <w:r>
        <w:rPr>
          <w:rFonts w:ascii="仿宋" w:hAnsi="仿宋" w:eastAsia="仿宋" w:cs="仿宋"/>
          <w:spacing w:val="-1"/>
          <w:sz w:val="32"/>
          <w:szCs w:val="32"/>
        </w:rPr>
        <w:t>央、国务院重大战略部署和政策目标如期实现。</w:t>
      </w:r>
    </w:p>
    <w:p>
      <w:pPr>
        <w:spacing w:before="2" w:line="336" w:lineRule="auto"/>
        <w:ind w:left="12" w:right="146" w:firstLine="782"/>
        <w:jc w:val="left"/>
        <w:rPr>
          <w:rFonts w:ascii="仿宋" w:hAnsi="仿宋" w:eastAsia="仿宋" w:cs="仿宋"/>
          <w:spacing w:val="-3"/>
          <w:sz w:val="32"/>
          <w:szCs w:val="32"/>
        </w:rPr>
      </w:pPr>
      <w:r>
        <w:rPr>
          <w:rFonts w:ascii="楷体" w:hAnsi="楷体" w:eastAsia="楷体" w:cs="楷体"/>
          <w:spacing w:val="-11"/>
          <w:sz w:val="32"/>
          <w:szCs w:val="32"/>
        </w:rPr>
        <w:t>（四）做好绩效自评工作。</w:t>
      </w:r>
      <w:r>
        <w:rPr>
          <w:rFonts w:ascii="Times New Roman" w:hAnsi="Times New Roman" w:eastAsia="Times New Roman" w:cs="Times New Roman"/>
          <w:spacing w:val="-11"/>
          <w:sz w:val="32"/>
          <w:szCs w:val="32"/>
        </w:rPr>
        <w:t>1.</w:t>
      </w:r>
      <w:r>
        <w:rPr>
          <w:rFonts w:ascii="仿宋" w:hAnsi="仿宋" w:eastAsia="仿宋" w:cs="仿宋"/>
          <w:spacing w:val="-11"/>
          <w:sz w:val="32"/>
          <w:szCs w:val="32"/>
        </w:rPr>
        <w:t>建立全过程绩效评价。开展预算</w:t>
      </w:r>
      <w:r>
        <w:rPr>
          <w:rFonts w:ascii="仿宋" w:hAnsi="仿宋" w:eastAsia="仿宋" w:cs="仿宋"/>
          <w:spacing w:val="-126"/>
          <w:sz w:val="32"/>
          <w:szCs w:val="32"/>
        </w:rPr>
        <w:t xml:space="preserve"> </w:t>
      </w:r>
      <w:r>
        <w:rPr>
          <w:rFonts w:ascii="仿宋" w:hAnsi="仿宋" w:eastAsia="仿宋" w:cs="仿宋"/>
          <w:spacing w:val="3"/>
          <w:sz w:val="32"/>
          <w:szCs w:val="32"/>
        </w:rPr>
        <w:t>安排事前评审；加强预算执行和绩效运行跟踪；开展单位绩效自</w:t>
      </w:r>
      <w:r>
        <w:rPr>
          <w:rFonts w:ascii="仿宋" w:hAnsi="仿宋" w:eastAsia="仿宋" w:cs="仿宋"/>
          <w:spacing w:val="-8"/>
          <w:sz w:val="32"/>
          <w:szCs w:val="32"/>
        </w:rPr>
        <w:t>评、财政重点再评价以及第三方评价试点，强化绩效评价结果应用</w:t>
      </w:r>
      <w:r>
        <w:rPr>
          <w:rFonts w:ascii="仿宋" w:hAnsi="仿宋" w:eastAsia="仿宋" w:cs="仿宋"/>
          <w:spacing w:val="-130"/>
          <w:sz w:val="32"/>
          <w:szCs w:val="32"/>
        </w:rPr>
        <w:t xml:space="preserve"> </w:t>
      </w:r>
      <w:r>
        <w:rPr>
          <w:rFonts w:ascii="仿宋" w:hAnsi="仿宋" w:eastAsia="仿宋" w:cs="仿宋"/>
          <w:spacing w:val="-5"/>
          <w:sz w:val="32"/>
          <w:szCs w:val="32"/>
        </w:rPr>
        <w:t>和问责。</w:t>
      </w:r>
      <w:r>
        <w:rPr>
          <w:rFonts w:ascii="Times New Roman" w:hAnsi="Times New Roman" w:eastAsia="Times New Roman" w:cs="Times New Roman"/>
          <w:spacing w:val="-5"/>
          <w:sz w:val="32"/>
          <w:szCs w:val="32"/>
        </w:rPr>
        <w:t>2.</w:t>
      </w:r>
      <w:r>
        <w:rPr>
          <w:rFonts w:ascii="仿宋" w:hAnsi="仿宋" w:eastAsia="仿宋" w:cs="仿宋"/>
          <w:spacing w:val="-5"/>
          <w:sz w:val="32"/>
          <w:szCs w:val="32"/>
        </w:rPr>
        <w:t>自评采用打分评价的形式，得分根据定量指标、定性指</w:t>
      </w:r>
      <w:r>
        <w:rPr>
          <w:rFonts w:ascii="仿宋" w:hAnsi="仿宋" w:eastAsia="仿宋" w:cs="仿宋"/>
          <w:spacing w:val="-130"/>
          <w:sz w:val="32"/>
          <w:szCs w:val="32"/>
        </w:rPr>
        <w:t xml:space="preserve"> </w:t>
      </w:r>
      <w:r>
        <w:rPr>
          <w:rFonts w:ascii="仿宋" w:hAnsi="仿宋" w:eastAsia="仿宋" w:cs="仿宋"/>
          <w:spacing w:val="3"/>
          <w:sz w:val="32"/>
          <w:szCs w:val="32"/>
        </w:rPr>
        <w:t>标的完成情况进行评定。各科室对照年初预算设定的绩效目标及</w:t>
      </w:r>
      <w:r>
        <w:rPr>
          <w:rFonts w:ascii="仿宋" w:hAnsi="仿宋" w:eastAsia="仿宋" w:cs="仿宋"/>
          <w:spacing w:val="-124"/>
          <w:sz w:val="32"/>
          <w:szCs w:val="32"/>
        </w:rPr>
        <w:t xml:space="preserve"> </w:t>
      </w:r>
      <w:r>
        <w:rPr>
          <w:rFonts w:ascii="仿宋" w:hAnsi="仿宋" w:eastAsia="仿宋" w:cs="仿宋"/>
          <w:spacing w:val="-8"/>
          <w:sz w:val="32"/>
          <w:szCs w:val="32"/>
        </w:rPr>
        <w:t>指标值，对应填报年度实际完成值，对未完成绩效目标及指标要逐</w:t>
      </w:r>
      <w:r>
        <w:rPr>
          <w:rFonts w:ascii="仿宋" w:hAnsi="仿宋" w:eastAsia="仿宋" w:cs="仿宋"/>
          <w:spacing w:val="-128"/>
          <w:sz w:val="32"/>
          <w:szCs w:val="32"/>
        </w:rPr>
        <w:t xml:space="preserve"> </w:t>
      </w:r>
      <w:r>
        <w:rPr>
          <w:rFonts w:ascii="仿宋" w:hAnsi="仿宋" w:eastAsia="仿宋" w:cs="仿宋"/>
          <w:spacing w:val="-8"/>
          <w:sz w:val="32"/>
          <w:szCs w:val="32"/>
        </w:rPr>
        <w:t>条分析，说明原因，并研究提出改进措施。参考《项目支出绩效自</w:t>
      </w:r>
      <w:r>
        <w:rPr>
          <w:rFonts w:ascii="仿宋" w:hAnsi="仿宋" w:eastAsia="仿宋" w:cs="仿宋"/>
          <w:spacing w:val="-128"/>
          <w:sz w:val="32"/>
          <w:szCs w:val="32"/>
        </w:rPr>
        <w:t xml:space="preserve"> </w:t>
      </w:r>
      <w:r>
        <w:rPr>
          <w:rFonts w:ascii="仿宋" w:hAnsi="仿宋" w:eastAsia="仿宋" w:cs="仿宋"/>
          <w:spacing w:val="-8"/>
          <w:sz w:val="32"/>
          <w:szCs w:val="32"/>
        </w:rPr>
        <w:t>评样表》填写相应的《项目支出绩效自评表》并撰写相关项目的绩</w:t>
      </w:r>
      <w:r>
        <w:rPr>
          <w:rFonts w:ascii="仿宋" w:hAnsi="仿宋" w:eastAsia="仿宋" w:cs="仿宋"/>
          <w:spacing w:val="-128"/>
          <w:sz w:val="32"/>
          <w:szCs w:val="32"/>
        </w:rPr>
        <w:t xml:space="preserve"> </w:t>
      </w:r>
      <w:r>
        <w:rPr>
          <w:rFonts w:ascii="仿宋" w:hAnsi="仿宋" w:eastAsia="仿宋" w:cs="仿宋"/>
          <w:spacing w:val="3"/>
          <w:sz w:val="32"/>
          <w:szCs w:val="32"/>
        </w:rPr>
        <w:t>效自评工作总结。绩效自评工作总结主要包括绩效评价工作开展</w:t>
      </w:r>
      <w:r>
        <w:rPr>
          <w:rFonts w:ascii="仿宋" w:hAnsi="仿宋" w:eastAsia="仿宋" w:cs="仿宋"/>
          <w:spacing w:val="-124"/>
          <w:sz w:val="32"/>
          <w:szCs w:val="32"/>
        </w:rPr>
        <w:t xml:space="preserve"> </w:t>
      </w:r>
      <w:r>
        <w:rPr>
          <w:rFonts w:ascii="仿宋" w:hAnsi="仿宋" w:eastAsia="仿宋" w:cs="仿宋"/>
          <w:spacing w:val="-8"/>
          <w:sz w:val="32"/>
          <w:szCs w:val="32"/>
        </w:rPr>
        <w:t>情况、项目管理及绩效情况、未完成原因分析、好的经验做法、存</w:t>
      </w:r>
      <w:r>
        <w:rPr>
          <w:rFonts w:ascii="仿宋" w:hAnsi="仿宋" w:eastAsia="仿宋" w:cs="仿宋"/>
          <w:spacing w:val="-128"/>
          <w:sz w:val="32"/>
          <w:szCs w:val="32"/>
        </w:rPr>
        <w:t xml:space="preserve"> </w:t>
      </w:r>
      <w:r>
        <w:rPr>
          <w:rFonts w:ascii="仿宋" w:hAnsi="仿宋" w:eastAsia="仿宋" w:cs="仿宋"/>
          <w:spacing w:val="-8"/>
          <w:sz w:val="32"/>
          <w:szCs w:val="32"/>
        </w:rPr>
        <w:t>在的问题及下一步改进措施、建议等内容。工作总结要力求内容全</w:t>
      </w:r>
      <w:r>
        <w:rPr>
          <w:rFonts w:ascii="仿宋" w:hAnsi="仿宋" w:eastAsia="仿宋" w:cs="仿宋"/>
          <w:spacing w:val="-128"/>
          <w:sz w:val="32"/>
          <w:szCs w:val="32"/>
        </w:rPr>
        <w:t xml:space="preserve"> </w:t>
      </w:r>
      <w:r>
        <w:rPr>
          <w:rFonts w:ascii="仿宋" w:hAnsi="仿宋" w:eastAsia="仿宋" w:cs="仿宋"/>
          <w:spacing w:val="-8"/>
          <w:sz w:val="32"/>
          <w:szCs w:val="32"/>
        </w:rPr>
        <w:t>面，数据详实，突出特色；反映问题真实客观，提出针对性强的建</w:t>
      </w:r>
      <w:r>
        <w:rPr>
          <w:rFonts w:ascii="仿宋" w:hAnsi="仿宋" w:eastAsia="仿宋" w:cs="仿宋"/>
          <w:spacing w:val="-128"/>
          <w:sz w:val="32"/>
          <w:szCs w:val="32"/>
        </w:rPr>
        <w:t xml:space="preserve"> </w:t>
      </w:r>
      <w:r>
        <w:rPr>
          <w:rFonts w:ascii="仿宋" w:hAnsi="仿宋" w:eastAsia="仿宋" w:cs="仿宋"/>
          <w:spacing w:val="-3"/>
          <w:sz w:val="32"/>
          <w:szCs w:val="32"/>
        </w:rPr>
        <w:t>议。</w:t>
      </w:r>
    </w:p>
    <w:p>
      <w:pPr>
        <w:spacing w:before="2" w:line="336" w:lineRule="auto"/>
        <w:ind w:left="12" w:right="146" w:firstLine="782"/>
        <w:jc w:val="left"/>
        <w:rPr>
          <w:rFonts w:ascii="仿宋" w:hAnsi="仿宋" w:eastAsia="仿宋" w:cs="仿宋"/>
          <w:sz w:val="32"/>
          <w:szCs w:val="32"/>
        </w:rPr>
      </w:pPr>
      <w:r>
        <w:rPr>
          <w:rFonts w:ascii="楷体" w:hAnsi="楷体" w:eastAsia="楷体" w:cs="楷体"/>
          <w:spacing w:val="-14"/>
          <w:sz w:val="32"/>
          <w:szCs w:val="32"/>
        </w:rPr>
        <w:t>（五）规范财务资产管理。</w:t>
      </w:r>
      <w:r>
        <w:rPr>
          <w:rFonts w:ascii="仿宋" w:hAnsi="仿宋" w:eastAsia="仿宋" w:cs="仿宋"/>
          <w:spacing w:val="-14"/>
          <w:sz w:val="32"/>
          <w:szCs w:val="32"/>
        </w:rPr>
        <w:t>完善财务管理制度，建立健全固定</w:t>
      </w:r>
      <w:r>
        <w:rPr>
          <w:rFonts w:ascii="仿宋" w:hAnsi="仿宋" w:eastAsia="仿宋" w:cs="仿宋"/>
          <w:spacing w:val="-8"/>
          <w:sz w:val="32"/>
          <w:szCs w:val="32"/>
        </w:rPr>
        <w:t>资产的盘点制度，是确保各项固定资产账实相符的有力举措。依据</w:t>
      </w:r>
      <w:r>
        <w:rPr>
          <w:rFonts w:ascii="仿宋" w:hAnsi="仿宋" w:eastAsia="仿宋" w:cs="仿宋"/>
          <w:spacing w:val="-3"/>
          <w:sz w:val="32"/>
          <w:szCs w:val="32"/>
        </w:rPr>
        <w:t>会计制度的相关规定：单位固定资产应定期或每年至少盘点一次。</w:t>
      </w:r>
      <w:r>
        <w:rPr>
          <w:rFonts w:ascii="仿宋" w:hAnsi="仿宋" w:eastAsia="仿宋" w:cs="仿宋"/>
          <w:spacing w:val="-121"/>
          <w:sz w:val="32"/>
          <w:szCs w:val="32"/>
        </w:rPr>
        <w:t xml:space="preserve"> </w:t>
      </w:r>
      <w:r>
        <w:rPr>
          <w:rFonts w:ascii="仿宋" w:hAnsi="仿宋" w:eastAsia="仿宋" w:cs="仿宋"/>
          <w:spacing w:val="3"/>
          <w:sz w:val="32"/>
          <w:szCs w:val="32"/>
        </w:rPr>
        <w:t>具体到单位的固定资产管理中，可通过年终或者年中对固定资产</w:t>
      </w:r>
      <w:r>
        <w:rPr>
          <w:rFonts w:ascii="仿宋" w:hAnsi="仿宋" w:eastAsia="仿宋" w:cs="仿宋"/>
          <w:spacing w:val="28"/>
          <w:sz w:val="32"/>
          <w:szCs w:val="32"/>
        </w:rPr>
        <w:t xml:space="preserve"> </w:t>
      </w:r>
      <w:r>
        <w:rPr>
          <w:rFonts w:ascii="仿宋" w:hAnsi="仿宋" w:eastAsia="仿宋" w:cs="仿宋"/>
          <w:spacing w:val="-8"/>
          <w:sz w:val="32"/>
          <w:szCs w:val="32"/>
        </w:rPr>
        <w:t>数量和使用状况全面盘点的方式，来搞清单位的家底，对盘盈、盘亏的资产形成因素进行研究。同时，还应对固定资产的结构和当前</w:t>
      </w:r>
      <w:r>
        <w:rPr>
          <w:rFonts w:ascii="仿宋" w:hAnsi="仿宋" w:eastAsia="仿宋" w:cs="仿宋"/>
          <w:spacing w:val="24"/>
          <w:sz w:val="32"/>
          <w:szCs w:val="32"/>
        </w:rPr>
        <w:t xml:space="preserve"> </w:t>
      </w:r>
      <w:r>
        <w:rPr>
          <w:rFonts w:ascii="仿宋" w:hAnsi="仿宋" w:eastAsia="仿宋" w:cs="仿宋"/>
          <w:spacing w:val="-8"/>
          <w:sz w:val="32"/>
          <w:szCs w:val="32"/>
        </w:rPr>
        <w:t>的管理情况进行认真研究，对发现账实不符、盘盈、盘亏等遗留问</w:t>
      </w:r>
      <w:r>
        <w:rPr>
          <w:rFonts w:ascii="仿宋" w:hAnsi="仿宋" w:eastAsia="仿宋" w:cs="仿宋"/>
          <w:spacing w:val="24"/>
          <w:sz w:val="32"/>
          <w:szCs w:val="32"/>
        </w:rPr>
        <w:t xml:space="preserve"> </w:t>
      </w:r>
      <w:r>
        <w:rPr>
          <w:rFonts w:ascii="仿宋" w:hAnsi="仿宋" w:eastAsia="仿宋" w:cs="仿宋"/>
          <w:spacing w:val="-8"/>
          <w:sz w:val="32"/>
          <w:szCs w:val="32"/>
        </w:rPr>
        <w:t>题及时进行整改处理，以将存量资产盘活为目的，一方面可防止固</w:t>
      </w:r>
      <w:r>
        <w:rPr>
          <w:rFonts w:ascii="仿宋" w:hAnsi="仿宋" w:eastAsia="仿宋" w:cs="仿宋"/>
          <w:spacing w:val="24"/>
          <w:sz w:val="32"/>
          <w:szCs w:val="32"/>
        </w:rPr>
        <w:t xml:space="preserve"> </w:t>
      </w:r>
      <w:r>
        <w:rPr>
          <w:rFonts w:ascii="仿宋" w:hAnsi="仿宋" w:eastAsia="仿宋" w:cs="仿宋"/>
          <w:spacing w:val="-8"/>
          <w:sz w:val="32"/>
          <w:szCs w:val="32"/>
        </w:rPr>
        <w:t>定资产的积压闲置，以确保全部固定资产的安全、完整和各自功能</w:t>
      </w:r>
      <w:r>
        <w:rPr>
          <w:rFonts w:ascii="仿宋" w:hAnsi="仿宋" w:eastAsia="仿宋" w:cs="仿宋"/>
          <w:spacing w:val="24"/>
          <w:sz w:val="32"/>
          <w:szCs w:val="32"/>
        </w:rPr>
        <w:t xml:space="preserve"> </w:t>
      </w:r>
      <w:r>
        <w:rPr>
          <w:rFonts w:ascii="仿宋" w:hAnsi="仿宋" w:eastAsia="仿宋" w:cs="仿宋"/>
          <w:spacing w:val="-1"/>
          <w:sz w:val="32"/>
          <w:szCs w:val="32"/>
        </w:rPr>
        <w:t>的全面发挥；另一方面也能使会计信息质量得以提升。</w:t>
      </w:r>
    </w:p>
    <w:p>
      <w:pPr>
        <w:spacing w:before="2" w:line="336" w:lineRule="auto"/>
        <w:ind w:right="160" w:firstLine="654"/>
        <w:jc w:val="left"/>
        <w:rPr>
          <w:rFonts w:ascii="仿宋" w:hAnsi="仿宋" w:eastAsia="仿宋" w:cs="仿宋"/>
          <w:spacing w:val="-3"/>
          <w:sz w:val="32"/>
          <w:szCs w:val="32"/>
        </w:rPr>
      </w:pPr>
      <w:r>
        <w:rPr>
          <w:rFonts w:ascii="仿宋" w:hAnsi="仿宋" w:eastAsia="仿宋" w:cs="仿宋"/>
          <w:spacing w:val="-9"/>
          <w:sz w:val="32"/>
          <w:szCs w:val="32"/>
        </w:rPr>
        <w:t>合理分配资源，使其功能得到最大发挥。这里的固定资产资源</w:t>
      </w:r>
      <w:r>
        <w:rPr>
          <w:rFonts w:ascii="仿宋" w:hAnsi="仿宋" w:eastAsia="仿宋" w:cs="仿宋"/>
          <w:spacing w:val="-126"/>
          <w:sz w:val="32"/>
          <w:szCs w:val="32"/>
        </w:rPr>
        <w:t xml:space="preserve"> </w:t>
      </w:r>
      <w:r>
        <w:rPr>
          <w:rFonts w:ascii="仿宋" w:hAnsi="仿宋" w:eastAsia="仿宋" w:cs="仿宋"/>
          <w:spacing w:val="-8"/>
          <w:sz w:val="32"/>
          <w:szCs w:val="32"/>
        </w:rPr>
        <w:t>包括三大类：第一类，闲置的固定资产。可采用定期合理调剂的方</w:t>
      </w:r>
      <w:r>
        <w:rPr>
          <w:rFonts w:ascii="仿宋" w:hAnsi="仿宋" w:eastAsia="仿宋" w:cs="仿宋"/>
          <w:spacing w:val="-9"/>
          <w:sz w:val="32"/>
          <w:szCs w:val="32"/>
        </w:rPr>
        <w:t>式来提高使用率，使其功能得到正常发挥，对那些无法再调剂到实</w:t>
      </w:r>
      <w:r>
        <w:rPr>
          <w:rFonts w:ascii="仿宋" w:hAnsi="仿宋" w:eastAsia="仿宋" w:cs="仿宋"/>
          <w:spacing w:val="-8"/>
          <w:sz w:val="32"/>
          <w:szCs w:val="32"/>
        </w:rPr>
        <w:t>际生产活动中的固定资产，管理部门要对其妥善保管，并组织专业人员对其定期做设备保养和功能鉴定，以确保其使用功能正常。第</w:t>
      </w:r>
      <w:r>
        <w:rPr>
          <w:rFonts w:ascii="仿宋" w:hAnsi="仿宋" w:eastAsia="仿宋" w:cs="仿宋"/>
          <w:spacing w:val="-3"/>
          <w:sz w:val="32"/>
          <w:szCs w:val="32"/>
        </w:rPr>
        <w:t>二类，对已达到报废标准的固定资产，</w:t>
      </w:r>
      <w:r>
        <w:rPr>
          <w:rFonts w:ascii="仿宋" w:hAnsi="仿宋" w:eastAsia="仿宋" w:cs="仿宋"/>
          <w:spacing w:val="-133"/>
          <w:sz w:val="32"/>
          <w:szCs w:val="32"/>
        </w:rPr>
        <w:t xml:space="preserve"> </w:t>
      </w:r>
      <w:r>
        <w:rPr>
          <w:rFonts w:ascii="仿宋" w:hAnsi="仿宋" w:eastAsia="仿宋" w:cs="仿宋"/>
          <w:spacing w:val="-3"/>
          <w:sz w:val="32"/>
          <w:szCs w:val="32"/>
        </w:rPr>
        <w:t>可通过再利用的方式处理，</w:t>
      </w:r>
      <w:r>
        <w:rPr>
          <w:rFonts w:ascii="仿宋" w:hAnsi="仿宋" w:eastAsia="仿宋" w:cs="仿宋"/>
          <w:spacing w:val="-8"/>
          <w:sz w:val="32"/>
          <w:szCs w:val="32"/>
        </w:rPr>
        <w:t>使其功能再次发挥。第三类，对使用中的固定资产，管理部门要及时掌握其使用情况，做好维修保养处理。总之，只有实现了资源的合理配置，才能使国有固定资产的利用率提高，最大限度的发挥其</w:t>
      </w:r>
      <w:r>
        <w:rPr>
          <w:rFonts w:ascii="仿宋" w:hAnsi="仿宋" w:eastAsia="仿宋" w:cs="仿宋"/>
          <w:spacing w:val="-3"/>
          <w:sz w:val="32"/>
          <w:szCs w:val="32"/>
        </w:rPr>
        <w:t>功能。</w:t>
      </w:r>
    </w:p>
    <w:p>
      <w:pPr>
        <w:spacing w:before="220" w:line="318" w:lineRule="auto"/>
        <w:ind w:firstLine="628" w:firstLineChars="211"/>
        <w:jc w:val="left"/>
        <w:rPr>
          <w:rFonts w:ascii="仿宋" w:hAnsi="仿宋" w:eastAsia="仿宋" w:cs="仿宋"/>
          <w:sz w:val="32"/>
          <w:szCs w:val="32"/>
        </w:rPr>
      </w:pPr>
      <w:r>
        <w:rPr>
          <w:rFonts w:ascii="楷体" w:hAnsi="楷体" w:eastAsia="楷体" w:cs="楷体"/>
          <w:spacing w:val="-11"/>
          <w:sz w:val="32"/>
          <w:szCs w:val="32"/>
        </w:rPr>
        <w:t>（六）加强内部监督。</w:t>
      </w:r>
      <w:r>
        <w:rPr>
          <w:rFonts w:ascii="Times New Roman" w:hAnsi="Times New Roman" w:eastAsia="Times New Roman" w:cs="Times New Roman"/>
          <w:spacing w:val="-11"/>
          <w:sz w:val="32"/>
          <w:szCs w:val="32"/>
        </w:rPr>
        <w:t>1.</w:t>
      </w:r>
      <w:r>
        <w:rPr>
          <w:rFonts w:ascii="仿宋" w:hAnsi="仿宋" w:eastAsia="仿宋" w:cs="仿宋"/>
          <w:spacing w:val="-11"/>
          <w:sz w:val="32"/>
          <w:szCs w:val="32"/>
        </w:rPr>
        <w:t>提高规范意识、纠正思想偏差，对内</w:t>
      </w:r>
      <w:r>
        <w:rPr>
          <w:rFonts w:ascii="仿宋" w:hAnsi="仿宋" w:eastAsia="仿宋" w:cs="仿宋"/>
          <w:spacing w:val="-124"/>
          <w:sz w:val="32"/>
          <w:szCs w:val="32"/>
        </w:rPr>
        <w:t xml:space="preserve"> </w:t>
      </w:r>
      <w:r>
        <w:rPr>
          <w:rFonts w:ascii="仿宋" w:hAnsi="仿宋" w:eastAsia="仿宋" w:cs="仿宋"/>
          <w:spacing w:val="-3"/>
          <w:sz w:val="32"/>
          <w:szCs w:val="32"/>
        </w:rPr>
        <w:t>管工作认识再提高。</w:t>
      </w:r>
      <w:r>
        <w:rPr>
          <w:rFonts w:ascii="Times New Roman" w:hAnsi="Times New Roman" w:eastAsia="Times New Roman" w:cs="Times New Roman"/>
          <w:spacing w:val="-3"/>
          <w:sz w:val="32"/>
          <w:szCs w:val="32"/>
        </w:rPr>
        <w:t>2.</w:t>
      </w:r>
      <w:r>
        <w:rPr>
          <w:rFonts w:ascii="仿宋" w:hAnsi="仿宋" w:eastAsia="仿宋" w:cs="仿宋"/>
          <w:spacing w:val="-3"/>
          <w:sz w:val="32"/>
          <w:szCs w:val="32"/>
        </w:rPr>
        <w:t>加强学习交流，提升内管队伍素质。</w:t>
      </w:r>
      <w:r>
        <w:rPr>
          <w:rFonts w:ascii="Times New Roman" w:hAnsi="Times New Roman" w:eastAsia="Times New Roman" w:cs="Times New Roman"/>
          <w:spacing w:val="-3"/>
          <w:sz w:val="32"/>
          <w:szCs w:val="32"/>
        </w:rPr>
        <w:t>3.</w:t>
      </w:r>
      <w:r>
        <w:rPr>
          <w:rFonts w:ascii="仿宋" w:hAnsi="仿宋" w:eastAsia="仿宋" w:cs="仿宋"/>
          <w:spacing w:val="-3"/>
          <w:sz w:val="32"/>
          <w:szCs w:val="32"/>
        </w:rPr>
        <w:t>加强</w:t>
      </w:r>
      <w:r>
        <w:rPr>
          <w:rFonts w:ascii="仿宋" w:hAnsi="仿宋" w:eastAsia="仿宋" w:cs="仿宋"/>
          <w:spacing w:val="-110"/>
          <w:sz w:val="32"/>
          <w:szCs w:val="32"/>
        </w:rPr>
        <w:t xml:space="preserve"> </w:t>
      </w:r>
      <w:r>
        <w:rPr>
          <w:rFonts w:ascii="仿宋" w:hAnsi="仿宋" w:eastAsia="仿宋" w:cs="仿宋"/>
          <w:spacing w:val="-5"/>
          <w:sz w:val="32"/>
          <w:szCs w:val="32"/>
        </w:rPr>
        <w:t>沟通配合，建立协作机制。</w:t>
      </w:r>
      <w:r>
        <w:rPr>
          <w:rFonts w:ascii="Times New Roman" w:hAnsi="Times New Roman" w:eastAsia="Times New Roman" w:cs="Times New Roman"/>
          <w:spacing w:val="-5"/>
          <w:sz w:val="32"/>
          <w:szCs w:val="32"/>
        </w:rPr>
        <w:t>4.</w:t>
      </w:r>
      <w:r>
        <w:rPr>
          <w:rFonts w:ascii="仿宋" w:hAnsi="仿宋" w:eastAsia="仿宋" w:cs="仿宋"/>
          <w:spacing w:val="-5"/>
          <w:sz w:val="32"/>
          <w:szCs w:val="32"/>
        </w:rPr>
        <w:t>监督提前、范围延伸，充分发挥内管</w:t>
      </w:r>
      <w:r>
        <w:rPr>
          <w:rFonts w:ascii="仿宋" w:hAnsi="仿宋" w:eastAsia="仿宋" w:cs="仿宋"/>
          <w:spacing w:val="-133"/>
          <w:sz w:val="32"/>
          <w:szCs w:val="32"/>
        </w:rPr>
        <w:t xml:space="preserve"> </w:t>
      </w:r>
      <w:r>
        <w:rPr>
          <w:rFonts w:ascii="仿宋" w:hAnsi="仿宋" w:eastAsia="仿宋" w:cs="仿宋"/>
          <w:spacing w:val="-3"/>
          <w:sz w:val="32"/>
          <w:szCs w:val="32"/>
        </w:rPr>
        <w:t>监督职能。</w:t>
      </w:r>
    </w:p>
    <w:p>
      <w:pPr>
        <w:spacing w:line="337" w:lineRule="auto"/>
        <w:ind w:firstLine="794"/>
        <w:jc w:val="left"/>
        <w:rPr>
          <w:rFonts w:ascii="仿宋" w:hAnsi="仿宋" w:eastAsia="仿宋" w:cs="仿宋"/>
          <w:spacing w:val="-1"/>
          <w:sz w:val="32"/>
          <w:szCs w:val="32"/>
        </w:rPr>
      </w:pPr>
      <w:r>
        <w:rPr>
          <w:rFonts w:ascii="楷体" w:hAnsi="楷体" w:eastAsia="楷体" w:cs="楷体"/>
          <w:spacing w:val="-3"/>
          <w:sz w:val="32"/>
          <w:szCs w:val="32"/>
        </w:rPr>
        <w:t>（七）</w:t>
      </w:r>
      <w:r>
        <w:rPr>
          <w:rFonts w:ascii="楷体" w:hAnsi="楷体" w:eastAsia="楷体" w:cs="楷体"/>
          <w:spacing w:val="-136"/>
          <w:sz w:val="32"/>
          <w:szCs w:val="32"/>
        </w:rPr>
        <w:t xml:space="preserve"> </w:t>
      </w:r>
      <w:r>
        <w:rPr>
          <w:rFonts w:ascii="楷体" w:hAnsi="楷体" w:eastAsia="楷体" w:cs="楷体"/>
          <w:spacing w:val="-3"/>
          <w:sz w:val="32"/>
          <w:szCs w:val="32"/>
        </w:rPr>
        <w:t>加强宣传培训调研等。</w:t>
      </w:r>
      <w:r>
        <w:rPr>
          <w:rFonts w:ascii="仿宋" w:hAnsi="仿宋" w:eastAsia="仿宋" w:cs="仿宋"/>
          <w:spacing w:val="-3"/>
          <w:sz w:val="32"/>
          <w:szCs w:val="32"/>
        </w:rPr>
        <w:t>提升机关事业单位财务管理水</w:t>
      </w:r>
      <w:r>
        <w:rPr>
          <w:rFonts w:ascii="仿宋" w:hAnsi="仿宋" w:eastAsia="仿宋" w:cs="仿宋"/>
          <w:spacing w:val="20"/>
          <w:sz w:val="32"/>
          <w:szCs w:val="32"/>
        </w:rPr>
        <w:t xml:space="preserve"> </w:t>
      </w:r>
      <w:r>
        <w:rPr>
          <w:rFonts w:ascii="仿宋" w:hAnsi="仿宋" w:eastAsia="仿宋" w:cs="仿宋"/>
          <w:spacing w:val="-8"/>
          <w:sz w:val="32"/>
          <w:szCs w:val="32"/>
        </w:rPr>
        <w:t>平。推进行政事业单位内控制度建设，夯实财务会计工作基础，强</w:t>
      </w:r>
      <w:r>
        <w:rPr>
          <w:rFonts w:ascii="仿宋" w:hAnsi="仿宋" w:eastAsia="仿宋" w:cs="仿宋"/>
          <w:spacing w:val="32"/>
          <w:sz w:val="32"/>
          <w:szCs w:val="32"/>
        </w:rPr>
        <w:t xml:space="preserve"> </w:t>
      </w:r>
      <w:r>
        <w:rPr>
          <w:rFonts w:ascii="仿宋" w:hAnsi="仿宋" w:eastAsia="仿宋" w:cs="仿宋"/>
          <w:spacing w:val="-8"/>
          <w:sz w:val="32"/>
          <w:szCs w:val="32"/>
        </w:rPr>
        <w:t>化公务支出和资产管理，堵塞管理漏洞，降低运行成本；加强财务</w:t>
      </w:r>
      <w:r>
        <w:rPr>
          <w:rFonts w:ascii="仿宋" w:hAnsi="仿宋" w:eastAsia="仿宋" w:cs="仿宋"/>
          <w:spacing w:val="32"/>
          <w:sz w:val="32"/>
          <w:szCs w:val="32"/>
        </w:rPr>
        <w:t xml:space="preserve"> </w:t>
      </w:r>
      <w:r>
        <w:rPr>
          <w:rFonts w:ascii="仿宋" w:hAnsi="仿宋" w:eastAsia="仿宋" w:cs="仿宋"/>
          <w:spacing w:val="-3"/>
          <w:sz w:val="32"/>
          <w:szCs w:val="32"/>
        </w:rPr>
        <w:t>人员培训，提高业务能力；</w:t>
      </w:r>
      <w:r>
        <w:rPr>
          <w:rFonts w:ascii="仿宋" w:hAnsi="仿宋" w:eastAsia="仿宋" w:cs="仿宋"/>
          <w:spacing w:val="-133"/>
          <w:sz w:val="32"/>
          <w:szCs w:val="32"/>
        </w:rPr>
        <w:t xml:space="preserve"> </w:t>
      </w:r>
      <w:r>
        <w:rPr>
          <w:rFonts w:ascii="仿宋" w:hAnsi="仿宋" w:eastAsia="仿宋" w:cs="仿宋"/>
          <w:spacing w:val="-3"/>
          <w:sz w:val="32"/>
          <w:szCs w:val="32"/>
        </w:rPr>
        <w:t>开展财务管理制度执行情况专项检查，</w:t>
      </w:r>
      <w:r>
        <w:rPr>
          <w:rFonts w:ascii="仿宋" w:hAnsi="仿宋" w:eastAsia="仿宋" w:cs="仿宋"/>
          <w:spacing w:val="-140"/>
          <w:sz w:val="32"/>
          <w:szCs w:val="32"/>
        </w:rPr>
        <w:t xml:space="preserve"> </w:t>
      </w:r>
      <w:r>
        <w:rPr>
          <w:rFonts w:ascii="仿宋" w:hAnsi="仿宋" w:eastAsia="仿宋" w:cs="仿宋"/>
          <w:spacing w:val="-1"/>
          <w:sz w:val="32"/>
          <w:szCs w:val="32"/>
        </w:rPr>
        <w:t>及时查处违规、违纪行为，努力提高财务管理水平。</w:t>
      </w: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hint="eastAsia" w:ascii="楷体_GB2312" w:eastAsia="楷体_GB2312" w:cs="Times New Roman"/>
          <w:b/>
          <w:sz w:val="32"/>
          <w:szCs w:val="32"/>
        </w:rPr>
      </w:pPr>
    </w:p>
    <w:p>
      <w:pPr>
        <w:overflowPunct w:val="0"/>
        <w:adjustRightInd w:val="0"/>
        <w:snapToGrid w:val="0"/>
        <w:spacing w:after="156" w:afterLines="50" w:line="580" w:lineRule="exact"/>
        <w:ind w:firstLine="630" w:firstLineChars="196"/>
        <w:jc w:val="left"/>
        <w:rPr>
          <w:rFonts w:ascii="楷体_GB2312" w:eastAsia="楷体_GB2312" w:cs="Times New Roman"/>
          <w:b/>
          <w:sz w:val="32"/>
          <w:szCs w:val="32"/>
        </w:rPr>
      </w:pPr>
      <w:r>
        <w:rPr>
          <w:rFonts w:hint="eastAsia" w:ascii="楷体_GB2312" w:eastAsia="楷体_GB2312" w:cs="Times New Roman"/>
          <w:b/>
          <w:sz w:val="32"/>
          <w:szCs w:val="32"/>
        </w:rPr>
        <w:t>（四）部门整体支出绩效指标</w:t>
      </w:r>
    </w:p>
    <w:p>
      <w:pPr>
        <w:spacing w:before="343" w:line="219" w:lineRule="auto"/>
        <w:ind w:firstLine="422"/>
        <w:jc w:val="center"/>
        <w:rPr>
          <w:rFonts w:ascii="黑体" w:hAnsi="黑体" w:eastAsia="黑体" w:cs="黑体"/>
          <w:sz w:val="44"/>
          <w:szCs w:val="44"/>
        </w:rPr>
      </w:pPr>
      <w:r>
        <w:rPr>
          <w:rFonts w:hint="eastAsia" w:ascii="楷体_GB2312" w:eastAsia="楷体_GB2312" w:cs="Times New Roman"/>
          <w:b/>
          <w:sz w:val="32"/>
          <w:szCs w:val="32"/>
        </w:rPr>
        <w:t>廊坊市发展和改革委员会整体支出绩效指标</w:t>
      </w:r>
    </w:p>
    <w:p>
      <w:pPr>
        <w:spacing w:line="228" w:lineRule="exact"/>
        <w:jc w:val="left"/>
      </w:pPr>
    </w:p>
    <w:tbl>
      <w:tblPr>
        <w:tblStyle w:val="20"/>
        <w:tblW w:w="9069"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4"/>
        <w:gridCol w:w="680"/>
        <w:gridCol w:w="1129"/>
        <w:gridCol w:w="2181"/>
        <w:gridCol w:w="1909"/>
        <w:gridCol w:w="469"/>
        <w:gridCol w:w="661"/>
        <w:gridCol w:w="488"/>
        <w:gridCol w:w="96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5" w:hRule="atLeast"/>
        </w:trPr>
        <w:tc>
          <w:tcPr>
            <w:tcW w:w="584" w:type="dxa"/>
            <w:vMerge w:val="restart"/>
            <w:tcBorders>
              <w:bottom w:val="nil"/>
            </w:tcBorders>
            <w:vAlign w:val="top"/>
          </w:tcPr>
          <w:p>
            <w:pPr>
              <w:spacing w:before="36" w:line="213" w:lineRule="auto"/>
              <w:ind w:left="88" w:right="74" w:firstLine="4"/>
              <w:jc w:val="left"/>
              <w:rPr>
                <w:rFonts w:ascii="黑体" w:hAnsi="黑体" w:eastAsia="黑体" w:cs="黑体"/>
                <w:sz w:val="21"/>
                <w:szCs w:val="21"/>
              </w:rPr>
            </w:pPr>
            <w:r>
              <w:rPr>
                <w:rFonts w:ascii="黑体" w:hAnsi="黑体" w:eastAsia="黑体" w:cs="黑体"/>
                <w:spacing w:val="-7"/>
                <w:sz w:val="21"/>
                <w:szCs w:val="21"/>
              </w:rPr>
              <w:t>一级</w:t>
            </w:r>
            <w:r>
              <w:rPr>
                <w:rFonts w:ascii="黑体" w:hAnsi="黑体" w:eastAsia="黑体" w:cs="黑体"/>
                <w:spacing w:val="-84"/>
                <w:sz w:val="21"/>
                <w:szCs w:val="21"/>
              </w:rPr>
              <w:t xml:space="preserve"> </w:t>
            </w:r>
            <w:r>
              <w:rPr>
                <w:rFonts w:ascii="黑体" w:hAnsi="黑体" w:eastAsia="黑体" w:cs="黑体"/>
                <w:spacing w:val="-4"/>
                <w:sz w:val="21"/>
                <w:szCs w:val="21"/>
              </w:rPr>
              <w:t>指标</w:t>
            </w:r>
          </w:p>
        </w:tc>
        <w:tc>
          <w:tcPr>
            <w:tcW w:w="680" w:type="dxa"/>
            <w:vMerge w:val="restart"/>
            <w:tcBorders>
              <w:bottom w:val="nil"/>
            </w:tcBorders>
            <w:vAlign w:val="top"/>
          </w:tcPr>
          <w:p>
            <w:pPr>
              <w:spacing w:before="36" w:line="213" w:lineRule="auto"/>
              <w:ind w:left="136" w:right="122" w:firstLine="4"/>
              <w:jc w:val="left"/>
              <w:rPr>
                <w:rFonts w:ascii="黑体" w:hAnsi="黑体" w:eastAsia="黑体" w:cs="黑体"/>
                <w:sz w:val="21"/>
                <w:szCs w:val="21"/>
              </w:rPr>
            </w:pPr>
            <w:r>
              <w:rPr>
                <w:rFonts w:ascii="黑体" w:hAnsi="黑体" w:eastAsia="黑体" w:cs="黑体"/>
                <w:spacing w:val="-6"/>
                <w:sz w:val="21"/>
                <w:szCs w:val="21"/>
              </w:rPr>
              <w:t>二级</w:t>
            </w:r>
            <w:r>
              <w:rPr>
                <w:rFonts w:ascii="黑体" w:hAnsi="黑体" w:eastAsia="黑体" w:cs="黑体"/>
                <w:spacing w:val="-85"/>
                <w:sz w:val="21"/>
                <w:szCs w:val="21"/>
              </w:rPr>
              <w:t xml:space="preserve"> </w:t>
            </w:r>
            <w:r>
              <w:rPr>
                <w:rFonts w:ascii="黑体" w:hAnsi="黑体" w:eastAsia="黑体" w:cs="黑体"/>
                <w:spacing w:val="-4"/>
                <w:sz w:val="21"/>
                <w:szCs w:val="21"/>
              </w:rPr>
              <w:t>指标</w:t>
            </w:r>
          </w:p>
        </w:tc>
        <w:tc>
          <w:tcPr>
            <w:tcW w:w="1129" w:type="dxa"/>
            <w:vMerge w:val="restart"/>
            <w:tcBorders>
              <w:bottom w:val="nil"/>
            </w:tcBorders>
            <w:vAlign w:val="top"/>
          </w:tcPr>
          <w:p>
            <w:pPr>
              <w:spacing w:before="36" w:line="241" w:lineRule="auto"/>
              <w:ind w:firstLine="365"/>
              <w:jc w:val="left"/>
              <w:rPr>
                <w:rFonts w:ascii="黑体" w:hAnsi="黑体" w:eastAsia="黑体" w:cs="黑体"/>
                <w:sz w:val="21"/>
                <w:szCs w:val="21"/>
              </w:rPr>
            </w:pPr>
            <w:r>
              <w:rPr>
                <w:rFonts w:ascii="黑体" w:hAnsi="黑体" w:eastAsia="黑体" w:cs="黑体"/>
                <w:spacing w:val="-4"/>
                <w:sz w:val="21"/>
                <w:szCs w:val="21"/>
              </w:rPr>
              <w:t>三级</w:t>
            </w:r>
          </w:p>
          <w:p>
            <w:pPr>
              <w:spacing w:line="204" w:lineRule="auto"/>
              <w:ind w:firstLine="359"/>
              <w:jc w:val="left"/>
              <w:rPr>
                <w:rFonts w:ascii="黑体" w:hAnsi="黑体" w:eastAsia="黑体" w:cs="黑体"/>
                <w:sz w:val="21"/>
                <w:szCs w:val="21"/>
              </w:rPr>
            </w:pPr>
            <w:r>
              <w:rPr>
                <w:rFonts w:ascii="黑体" w:hAnsi="黑体" w:eastAsia="黑体" w:cs="黑体"/>
                <w:spacing w:val="-2"/>
                <w:sz w:val="21"/>
                <w:szCs w:val="21"/>
              </w:rPr>
              <w:t>指标</w:t>
            </w:r>
          </w:p>
        </w:tc>
        <w:tc>
          <w:tcPr>
            <w:tcW w:w="2181" w:type="dxa"/>
            <w:vMerge w:val="restart"/>
            <w:tcBorders>
              <w:bottom w:val="nil"/>
            </w:tcBorders>
            <w:vAlign w:val="top"/>
          </w:tcPr>
          <w:p>
            <w:pPr>
              <w:spacing w:before="173" w:line="204" w:lineRule="auto"/>
              <w:ind w:firstLine="449"/>
              <w:jc w:val="left"/>
              <w:rPr>
                <w:rFonts w:ascii="黑体" w:hAnsi="黑体" w:eastAsia="黑体" w:cs="黑体"/>
                <w:sz w:val="21"/>
                <w:szCs w:val="21"/>
              </w:rPr>
            </w:pPr>
            <w:r>
              <w:rPr>
                <w:rFonts w:ascii="黑体" w:hAnsi="黑体" w:eastAsia="黑体" w:cs="黑体"/>
                <w:spacing w:val="-2"/>
                <w:sz w:val="21"/>
                <w:szCs w:val="21"/>
              </w:rPr>
              <w:t>评（扣）分标准</w:t>
            </w:r>
          </w:p>
        </w:tc>
        <w:tc>
          <w:tcPr>
            <w:tcW w:w="1909" w:type="dxa"/>
            <w:vMerge w:val="restart"/>
            <w:tcBorders>
              <w:bottom w:val="nil"/>
            </w:tcBorders>
            <w:vAlign w:val="top"/>
          </w:tcPr>
          <w:p>
            <w:pPr>
              <w:spacing w:before="36" w:line="204" w:lineRule="auto"/>
              <w:ind w:firstLine="449"/>
              <w:jc w:val="left"/>
              <w:rPr>
                <w:rFonts w:ascii="黑体" w:hAnsi="黑体" w:eastAsia="黑体" w:cs="黑体"/>
                <w:sz w:val="21"/>
                <w:szCs w:val="21"/>
              </w:rPr>
            </w:pPr>
            <w:r>
              <w:rPr>
                <w:rFonts w:ascii="黑体" w:hAnsi="黑体" w:eastAsia="黑体" w:cs="黑体"/>
                <w:spacing w:val="-3"/>
                <w:sz w:val="21"/>
                <w:szCs w:val="21"/>
              </w:rPr>
              <w:t>绩效指标</w:t>
            </w:r>
          </w:p>
          <w:p>
            <w:pPr>
              <w:spacing w:before="41" w:line="204" w:lineRule="auto"/>
              <w:ind w:firstLine="658"/>
              <w:jc w:val="left"/>
              <w:rPr>
                <w:rFonts w:ascii="黑体" w:hAnsi="黑体" w:eastAsia="黑体" w:cs="黑体"/>
                <w:sz w:val="21"/>
                <w:szCs w:val="21"/>
              </w:rPr>
            </w:pPr>
            <w:r>
              <w:rPr>
                <w:rFonts w:ascii="黑体" w:hAnsi="黑体" w:eastAsia="黑体" w:cs="黑体"/>
                <w:spacing w:val="-2"/>
                <w:sz w:val="21"/>
                <w:szCs w:val="21"/>
              </w:rPr>
              <w:t>描述</w:t>
            </w:r>
          </w:p>
        </w:tc>
        <w:tc>
          <w:tcPr>
            <w:tcW w:w="1618" w:type="dxa"/>
            <w:gridSpan w:val="3"/>
            <w:vAlign w:val="top"/>
          </w:tcPr>
          <w:p>
            <w:pPr>
              <w:spacing w:before="31" w:line="204" w:lineRule="auto"/>
              <w:ind w:firstLine="497"/>
              <w:jc w:val="left"/>
              <w:rPr>
                <w:rFonts w:ascii="黑体" w:hAnsi="黑体" w:eastAsia="黑体" w:cs="黑体"/>
                <w:sz w:val="21"/>
                <w:szCs w:val="21"/>
              </w:rPr>
            </w:pPr>
            <w:r>
              <w:rPr>
                <w:rFonts w:ascii="黑体" w:hAnsi="黑体" w:eastAsia="黑体" w:cs="黑体"/>
                <w:spacing w:val="-2"/>
                <w:sz w:val="21"/>
                <w:szCs w:val="21"/>
              </w:rPr>
              <w:t>指标值</w:t>
            </w:r>
          </w:p>
        </w:tc>
        <w:tc>
          <w:tcPr>
            <w:tcW w:w="968" w:type="dxa"/>
            <w:vMerge w:val="restart"/>
            <w:tcBorders>
              <w:bottom w:val="nil"/>
            </w:tcBorders>
            <w:vAlign w:val="top"/>
          </w:tcPr>
          <w:p>
            <w:pPr>
              <w:spacing w:before="36" w:line="213" w:lineRule="auto"/>
              <w:ind w:left="65" w:right="59" w:firstLine="105"/>
              <w:jc w:val="left"/>
              <w:rPr>
                <w:rFonts w:ascii="黑体" w:hAnsi="黑体" w:eastAsia="黑体" w:cs="黑体"/>
                <w:sz w:val="21"/>
                <w:szCs w:val="21"/>
              </w:rPr>
            </w:pPr>
            <w:r>
              <w:rPr>
                <w:rFonts w:ascii="黑体" w:hAnsi="黑体" w:eastAsia="黑体" w:cs="黑体"/>
                <w:spacing w:val="-3"/>
                <w:sz w:val="21"/>
                <w:szCs w:val="21"/>
              </w:rPr>
              <w:t>指标值</w:t>
            </w:r>
            <w:r>
              <w:rPr>
                <w:rFonts w:ascii="黑体" w:hAnsi="黑体" w:eastAsia="黑体" w:cs="黑体"/>
                <w:spacing w:val="23"/>
                <w:sz w:val="21"/>
                <w:szCs w:val="21"/>
              </w:rPr>
              <w:t xml:space="preserve"> </w:t>
            </w:r>
            <w:r>
              <w:rPr>
                <w:rFonts w:ascii="黑体" w:hAnsi="黑体" w:eastAsia="黑体" w:cs="黑体"/>
                <w:spacing w:val="-2"/>
                <w:sz w:val="21"/>
                <w:szCs w:val="21"/>
              </w:rPr>
              <w:t>确定依据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3" w:hRule="atLeast"/>
        </w:trPr>
        <w:tc>
          <w:tcPr>
            <w:tcW w:w="584" w:type="dxa"/>
            <w:vMerge w:val="continue"/>
            <w:tcBorders>
              <w:top w:val="nil"/>
            </w:tcBorders>
            <w:vAlign w:val="top"/>
          </w:tcPr>
          <w:p>
            <w:pPr>
              <w:spacing w:line="240" w:lineRule="auto"/>
              <w:jc w:val="left"/>
              <w:rPr>
                <w:rFonts w:ascii="Arial" w:hAnsi="Arial" w:eastAsia="Arial" w:cs="Arial"/>
                <w:sz w:val="21"/>
                <w:szCs w:val="21"/>
              </w:rPr>
            </w:pPr>
          </w:p>
        </w:tc>
        <w:tc>
          <w:tcPr>
            <w:tcW w:w="680" w:type="dxa"/>
            <w:vMerge w:val="continue"/>
            <w:tcBorders>
              <w:top w:val="nil"/>
            </w:tcBorders>
            <w:vAlign w:val="top"/>
          </w:tcPr>
          <w:p>
            <w:pPr>
              <w:spacing w:line="240" w:lineRule="auto"/>
              <w:jc w:val="left"/>
              <w:rPr>
                <w:rFonts w:ascii="Arial" w:hAnsi="Arial" w:eastAsia="Arial" w:cs="Arial"/>
                <w:sz w:val="21"/>
                <w:szCs w:val="21"/>
              </w:rPr>
            </w:pPr>
          </w:p>
        </w:tc>
        <w:tc>
          <w:tcPr>
            <w:tcW w:w="1129" w:type="dxa"/>
            <w:vMerge w:val="continue"/>
            <w:tcBorders>
              <w:top w:val="nil"/>
            </w:tcBorders>
            <w:vAlign w:val="top"/>
          </w:tcPr>
          <w:p>
            <w:pPr>
              <w:spacing w:line="240" w:lineRule="auto"/>
              <w:jc w:val="left"/>
              <w:rPr>
                <w:rFonts w:ascii="Arial" w:hAnsi="Arial" w:eastAsia="Arial" w:cs="Arial"/>
                <w:sz w:val="21"/>
                <w:szCs w:val="21"/>
              </w:rPr>
            </w:pPr>
          </w:p>
        </w:tc>
        <w:tc>
          <w:tcPr>
            <w:tcW w:w="2181" w:type="dxa"/>
            <w:vMerge w:val="continue"/>
            <w:tcBorders>
              <w:top w:val="nil"/>
            </w:tcBorders>
            <w:vAlign w:val="top"/>
          </w:tcPr>
          <w:p>
            <w:pPr>
              <w:spacing w:line="240" w:lineRule="auto"/>
              <w:jc w:val="left"/>
              <w:rPr>
                <w:rFonts w:ascii="Arial" w:hAnsi="Arial" w:eastAsia="Arial" w:cs="Arial"/>
                <w:sz w:val="21"/>
                <w:szCs w:val="21"/>
              </w:rPr>
            </w:pPr>
          </w:p>
        </w:tc>
        <w:tc>
          <w:tcPr>
            <w:tcW w:w="1909" w:type="dxa"/>
            <w:vMerge w:val="continue"/>
            <w:tcBorders>
              <w:top w:val="nil"/>
            </w:tcBorders>
            <w:vAlign w:val="top"/>
          </w:tcPr>
          <w:p>
            <w:pPr>
              <w:spacing w:line="240" w:lineRule="auto"/>
              <w:jc w:val="left"/>
              <w:rPr>
                <w:rFonts w:ascii="Arial" w:hAnsi="Arial" w:eastAsia="Arial" w:cs="Arial"/>
                <w:sz w:val="21"/>
                <w:szCs w:val="21"/>
              </w:rPr>
            </w:pPr>
          </w:p>
        </w:tc>
        <w:tc>
          <w:tcPr>
            <w:tcW w:w="469" w:type="dxa"/>
            <w:vAlign w:val="top"/>
          </w:tcPr>
          <w:p>
            <w:pPr>
              <w:spacing w:before="31" w:line="204" w:lineRule="auto"/>
              <w:ind w:firstLine="29"/>
              <w:jc w:val="left"/>
              <w:rPr>
                <w:rFonts w:ascii="黑体" w:hAnsi="黑体" w:eastAsia="黑体" w:cs="黑体"/>
                <w:sz w:val="21"/>
                <w:szCs w:val="21"/>
              </w:rPr>
            </w:pPr>
            <w:r>
              <w:rPr>
                <w:rFonts w:ascii="黑体" w:hAnsi="黑体" w:eastAsia="黑体" w:cs="黑体"/>
                <w:spacing w:val="-2"/>
                <w:sz w:val="21"/>
                <w:szCs w:val="21"/>
              </w:rPr>
              <w:t>符号</w:t>
            </w:r>
          </w:p>
        </w:tc>
        <w:tc>
          <w:tcPr>
            <w:tcW w:w="661" w:type="dxa"/>
            <w:vAlign w:val="top"/>
          </w:tcPr>
          <w:p>
            <w:pPr>
              <w:spacing w:before="31" w:line="204" w:lineRule="auto"/>
              <w:ind w:firstLine="227"/>
              <w:jc w:val="left"/>
              <w:rPr>
                <w:rFonts w:ascii="黑体" w:hAnsi="黑体" w:eastAsia="黑体" w:cs="黑体"/>
                <w:sz w:val="21"/>
                <w:szCs w:val="21"/>
              </w:rPr>
            </w:pPr>
            <w:r>
              <w:rPr>
                <w:rFonts w:ascii="黑体" w:hAnsi="黑体" w:eastAsia="黑体" w:cs="黑体"/>
                <w:sz w:val="21"/>
                <w:szCs w:val="21"/>
              </w:rPr>
              <w:t>值</w:t>
            </w:r>
          </w:p>
        </w:tc>
        <w:tc>
          <w:tcPr>
            <w:tcW w:w="488" w:type="dxa"/>
            <w:vAlign w:val="top"/>
          </w:tcPr>
          <w:p>
            <w:pPr>
              <w:spacing w:before="31" w:line="204" w:lineRule="auto"/>
              <w:ind w:firstLine="43"/>
              <w:jc w:val="left"/>
              <w:rPr>
                <w:rFonts w:ascii="黑体" w:hAnsi="黑体" w:eastAsia="黑体" w:cs="黑体"/>
                <w:sz w:val="21"/>
                <w:szCs w:val="21"/>
              </w:rPr>
            </w:pPr>
            <w:r>
              <w:rPr>
                <w:rFonts w:ascii="黑体" w:hAnsi="黑体" w:eastAsia="黑体" w:cs="黑体"/>
                <w:spacing w:val="-3"/>
                <w:sz w:val="21"/>
                <w:szCs w:val="21"/>
              </w:rPr>
              <w:t>单位</w:t>
            </w:r>
          </w:p>
        </w:tc>
        <w:tc>
          <w:tcPr>
            <w:tcW w:w="968" w:type="dxa"/>
            <w:vMerge w:val="continue"/>
            <w:tcBorders>
              <w:top w:val="nil"/>
            </w:tcBorders>
            <w:vAlign w:val="top"/>
          </w:tcPr>
          <w:p>
            <w:pPr>
              <w:spacing w:line="240" w:lineRule="auto"/>
              <w:jc w:val="left"/>
              <w:rPr>
                <w:rFonts w:ascii="Arial" w:hAnsi="Arial" w:eastAsia="Arial" w:cs="Arial"/>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91" w:hRule="atLeast"/>
        </w:trPr>
        <w:tc>
          <w:tcPr>
            <w:tcW w:w="584" w:type="dxa"/>
            <w:vMerge w:val="restart"/>
            <w:tcBorders>
              <w:bottom w:val="nil"/>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20" w:line="238" w:lineRule="auto"/>
              <w:ind w:left="87" w:right="74"/>
              <w:jc w:val="left"/>
              <w:rPr>
                <w:rFonts w:ascii="仿宋" w:hAnsi="仿宋" w:eastAsia="仿宋" w:cs="仿宋"/>
                <w:sz w:val="21"/>
                <w:szCs w:val="21"/>
              </w:rPr>
            </w:pPr>
            <w:r>
              <w:rPr>
                <w:rFonts w:ascii="仿宋" w:hAnsi="仿宋" w:eastAsia="仿宋" w:cs="仿宋"/>
                <w:spacing w:val="-3"/>
                <w:sz w:val="21"/>
                <w:szCs w:val="21"/>
              </w:rPr>
              <w:t>部门</w:t>
            </w:r>
            <w:r>
              <w:rPr>
                <w:rFonts w:ascii="仿宋" w:hAnsi="仿宋" w:eastAsia="仿宋" w:cs="仿宋"/>
                <w:spacing w:val="-85"/>
                <w:sz w:val="21"/>
                <w:szCs w:val="21"/>
              </w:rPr>
              <w:t xml:space="preserve"> </w:t>
            </w:r>
            <w:r>
              <w:rPr>
                <w:rFonts w:ascii="仿宋" w:hAnsi="仿宋" w:eastAsia="仿宋" w:cs="仿宋"/>
                <w:spacing w:val="-3"/>
                <w:sz w:val="21"/>
                <w:szCs w:val="21"/>
              </w:rPr>
              <w:t>产出</w:t>
            </w:r>
          </w:p>
        </w:tc>
        <w:tc>
          <w:tcPr>
            <w:tcW w:w="680" w:type="dxa"/>
            <w:vMerge w:val="restart"/>
            <w:tcBorders>
              <w:bottom w:val="nil"/>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68" w:line="204" w:lineRule="auto"/>
              <w:ind w:firstLine="140"/>
              <w:jc w:val="left"/>
              <w:rPr>
                <w:rFonts w:ascii="仿宋" w:hAnsi="仿宋" w:eastAsia="仿宋" w:cs="仿宋"/>
                <w:sz w:val="21"/>
                <w:szCs w:val="21"/>
              </w:rPr>
            </w:pPr>
            <w:r>
              <w:rPr>
                <w:rFonts w:ascii="仿宋" w:hAnsi="仿宋" w:eastAsia="仿宋" w:cs="仿宋"/>
                <w:spacing w:val="-3"/>
                <w:sz w:val="21"/>
                <w:szCs w:val="21"/>
              </w:rPr>
              <w:t>数量</w:t>
            </w:r>
          </w:p>
        </w:tc>
        <w:tc>
          <w:tcPr>
            <w:tcW w:w="1129" w:type="dxa"/>
            <w:vAlign w:val="top"/>
          </w:tcPr>
          <w:p>
            <w:pPr>
              <w:spacing w:before="170" w:line="239" w:lineRule="auto"/>
              <w:ind w:left="18" w:right="6" w:firstLine="1"/>
              <w:jc w:val="left"/>
              <w:rPr>
                <w:rFonts w:ascii="仿宋" w:hAnsi="仿宋" w:eastAsia="仿宋" w:cs="仿宋"/>
                <w:sz w:val="21"/>
                <w:szCs w:val="21"/>
              </w:rPr>
            </w:pPr>
            <w:r>
              <w:rPr>
                <w:rFonts w:ascii="仿宋" w:hAnsi="仿宋" w:eastAsia="仿宋" w:cs="仿宋"/>
                <w:spacing w:val="8"/>
                <w:sz w:val="21"/>
                <w:szCs w:val="21"/>
              </w:rPr>
              <w:t>项目培训及</w:t>
            </w:r>
            <w:r>
              <w:rPr>
                <w:rFonts w:ascii="仿宋" w:hAnsi="仿宋" w:eastAsia="仿宋" w:cs="仿宋"/>
                <w:spacing w:val="-81"/>
                <w:sz w:val="21"/>
                <w:szCs w:val="21"/>
              </w:rPr>
              <w:t xml:space="preserve"> </w:t>
            </w:r>
            <w:r>
              <w:rPr>
                <w:rFonts w:ascii="仿宋" w:hAnsi="仿宋" w:eastAsia="仿宋" w:cs="仿宋"/>
                <w:spacing w:val="9"/>
                <w:sz w:val="21"/>
                <w:szCs w:val="21"/>
              </w:rPr>
              <w:t>观摩拉练次</w:t>
            </w:r>
            <w:r>
              <w:rPr>
                <w:rFonts w:ascii="仿宋" w:hAnsi="仿宋" w:eastAsia="仿宋" w:cs="仿宋"/>
                <w:spacing w:val="-84"/>
                <w:sz w:val="21"/>
                <w:szCs w:val="21"/>
              </w:rPr>
              <w:t xml:space="preserve"> </w:t>
            </w:r>
            <w:r>
              <w:rPr>
                <w:rFonts w:ascii="仿宋" w:hAnsi="仿宋" w:eastAsia="仿宋" w:cs="仿宋"/>
                <w:sz w:val="21"/>
                <w:szCs w:val="21"/>
              </w:rPr>
              <w:t>数</w:t>
            </w:r>
          </w:p>
        </w:tc>
        <w:tc>
          <w:tcPr>
            <w:tcW w:w="2181" w:type="dxa"/>
            <w:vAlign w:val="top"/>
          </w:tcPr>
          <w:p>
            <w:pPr>
              <w:spacing w:line="240" w:lineRule="auto"/>
              <w:jc w:val="left"/>
              <w:rPr>
                <w:rFonts w:ascii="Arial" w:hAnsi="Arial" w:eastAsia="Arial" w:cs="Arial"/>
                <w:sz w:val="21"/>
                <w:szCs w:val="21"/>
              </w:rPr>
            </w:pPr>
          </w:p>
          <w:p>
            <w:pPr>
              <w:spacing w:before="79" w:line="247" w:lineRule="auto"/>
              <w:ind w:left="16" w:right="5" w:hanging="1"/>
              <w:jc w:val="left"/>
              <w:rPr>
                <w:rFonts w:ascii="Times New Roman" w:hAnsi="Times New Roman" w:eastAsia="Times New Roman" w:cs="Times New Roman"/>
                <w:sz w:val="21"/>
                <w:szCs w:val="21"/>
              </w:rPr>
            </w:pPr>
            <w:r>
              <w:rPr>
                <w:rFonts w:ascii="仿宋" w:hAnsi="仿宋" w:eastAsia="仿宋" w:cs="仿宋"/>
                <w:spacing w:val="-5"/>
                <w:sz w:val="21"/>
                <w:szCs w:val="21"/>
              </w:rPr>
              <w:t xml:space="preserve">每减少 </w:t>
            </w:r>
            <w:r>
              <w:rPr>
                <w:rFonts w:ascii="Times New Roman" w:hAnsi="Times New Roman" w:eastAsia="Times New Roman" w:cs="Times New Roman"/>
                <w:spacing w:val="-5"/>
                <w:sz w:val="21"/>
                <w:szCs w:val="21"/>
              </w:rPr>
              <w:t>1</w:t>
            </w:r>
            <w:r>
              <w:rPr>
                <w:rFonts w:ascii="Times New Roman" w:hAnsi="Times New Roman" w:eastAsia="Times New Roman" w:cs="Times New Roman"/>
                <w:spacing w:val="29"/>
                <w:sz w:val="21"/>
                <w:szCs w:val="21"/>
              </w:rPr>
              <w:t xml:space="preserve"> </w:t>
            </w:r>
            <w:r>
              <w:rPr>
                <w:rFonts w:ascii="仿宋" w:hAnsi="仿宋" w:eastAsia="仿宋" w:cs="仿宋"/>
                <w:spacing w:val="-5"/>
                <w:sz w:val="21"/>
                <w:szCs w:val="21"/>
              </w:rPr>
              <w:t>次，扣权重分的</w:t>
            </w:r>
            <w:r>
              <w:rPr>
                <w:rFonts w:ascii="仿宋" w:hAnsi="仿宋" w:eastAsia="仿宋" w:cs="仿宋"/>
                <w:spacing w:val="-85"/>
                <w:sz w:val="21"/>
                <w:szCs w:val="21"/>
              </w:rPr>
              <w:t xml:space="preserve"> </w:t>
            </w:r>
            <w:r>
              <w:rPr>
                <w:rFonts w:ascii="Times New Roman" w:hAnsi="Times New Roman" w:eastAsia="Times New Roman" w:cs="Times New Roman"/>
                <w:spacing w:val="-2"/>
                <w:sz w:val="21"/>
                <w:szCs w:val="21"/>
              </w:rPr>
              <w:t>50%</w:t>
            </w:r>
          </w:p>
        </w:tc>
        <w:tc>
          <w:tcPr>
            <w:tcW w:w="1909" w:type="dxa"/>
            <w:vAlign w:val="top"/>
          </w:tcPr>
          <w:p>
            <w:pPr>
              <w:spacing w:before="33" w:line="226" w:lineRule="auto"/>
              <w:ind w:left="16" w:right="8" w:hanging="4"/>
              <w:jc w:val="left"/>
              <w:rPr>
                <w:rFonts w:ascii="仿宋" w:hAnsi="仿宋" w:eastAsia="仿宋" w:cs="仿宋"/>
                <w:sz w:val="21"/>
                <w:szCs w:val="21"/>
              </w:rPr>
            </w:pPr>
            <w:r>
              <w:rPr>
                <w:rFonts w:ascii="仿宋" w:hAnsi="仿宋" w:eastAsia="仿宋" w:cs="仿宋"/>
                <w:spacing w:val="2"/>
                <w:sz w:val="21"/>
                <w:szCs w:val="21"/>
              </w:rPr>
              <w:t>该指标主要考核市</w:t>
            </w:r>
            <w:r>
              <w:rPr>
                <w:rFonts w:ascii="仿宋" w:hAnsi="仿宋" w:eastAsia="仿宋" w:cs="仿宋"/>
                <w:spacing w:val="-81"/>
                <w:sz w:val="21"/>
                <w:szCs w:val="21"/>
              </w:rPr>
              <w:t xml:space="preserve"> </w:t>
            </w:r>
            <w:r>
              <w:rPr>
                <w:rFonts w:ascii="仿宋" w:hAnsi="仿宋" w:eastAsia="仿宋" w:cs="仿宋"/>
                <w:spacing w:val="2"/>
                <w:sz w:val="21"/>
                <w:szCs w:val="21"/>
              </w:rPr>
              <w:t>委、市政府安排组</w:t>
            </w:r>
            <w:r>
              <w:rPr>
                <w:rFonts w:ascii="仿宋" w:hAnsi="仿宋" w:eastAsia="仿宋" w:cs="仿宋"/>
                <w:spacing w:val="-85"/>
                <w:sz w:val="21"/>
                <w:szCs w:val="21"/>
              </w:rPr>
              <w:t xml:space="preserve"> </w:t>
            </w:r>
            <w:r>
              <w:rPr>
                <w:rFonts w:ascii="仿宋" w:hAnsi="仿宋" w:eastAsia="仿宋" w:cs="仿宋"/>
                <w:spacing w:val="2"/>
                <w:sz w:val="21"/>
                <w:szCs w:val="21"/>
              </w:rPr>
              <w:t>织重大项目培训及</w:t>
            </w:r>
            <w:r>
              <w:rPr>
                <w:rFonts w:ascii="仿宋" w:hAnsi="仿宋" w:eastAsia="仿宋" w:cs="仿宋"/>
                <w:spacing w:val="-85"/>
                <w:sz w:val="21"/>
                <w:szCs w:val="21"/>
              </w:rPr>
              <w:t xml:space="preserve"> </w:t>
            </w:r>
            <w:r>
              <w:rPr>
                <w:rFonts w:ascii="仿宋" w:hAnsi="仿宋" w:eastAsia="仿宋" w:cs="仿宋"/>
                <w:spacing w:val="-1"/>
                <w:sz w:val="21"/>
                <w:szCs w:val="21"/>
              </w:rPr>
              <w:t>项目观摩拉练次数</w:t>
            </w:r>
          </w:p>
        </w:tc>
        <w:tc>
          <w:tcPr>
            <w:tcW w:w="469" w:type="dxa"/>
            <w:vAlign w:val="top"/>
          </w:tcPr>
          <w:p>
            <w:pPr>
              <w:spacing w:line="240" w:lineRule="auto"/>
              <w:jc w:val="left"/>
              <w:rPr>
                <w:rFonts w:ascii="Arial" w:hAnsi="Arial" w:eastAsia="Arial" w:cs="Arial"/>
                <w:sz w:val="21"/>
                <w:szCs w:val="21"/>
              </w:rPr>
            </w:pPr>
          </w:p>
          <w:p>
            <w:pPr>
              <w:spacing w:before="226" w:line="204" w:lineRule="auto"/>
              <w:ind w:firstLine="176"/>
              <w:jc w:val="left"/>
              <w:rPr>
                <w:rFonts w:ascii="仿宋" w:hAnsi="仿宋" w:eastAsia="仿宋" w:cs="仿宋"/>
                <w:sz w:val="21"/>
                <w:szCs w:val="21"/>
              </w:rPr>
            </w:pPr>
            <w:r>
              <w:rPr>
                <w:rFonts w:ascii="仿宋" w:hAnsi="仿宋" w:eastAsia="仿宋" w:cs="仿宋"/>
                <w:sz w:val="21"/>
                <w:szCs w:val="21"/>
              </w:rPr>
              <w:t>≥</w:t>
            </w:r>
          </w:p>
        </w:tc>
        <w:tc>
          <w:tcPr>
            <w:tcW w:w="661" w:type="dxa"/>
            <w:vAlign w:val="top"/>
          </w:tcPr>
          <w:p>
            <w:pPr>
              <w:spacing w:line="240" w:lineRule="auto"/>
              <w:jc w:val="left"/>
              <w:rPr>
                <w:rFonts w:ascii="Arial" w:hAnsi="Arial" w:eastAsia="Arial" w:cs="Arial"/>
                <w:sz w:val="21"/>
                <w:szCs w:val="21"/>
              </w:rPr>
            </w:pPr>
          </w:p>
          <w:p>
            <w:pPr>
              <w:spacing w:before="237" w:line="204" w:lineRule="auto"/>
              <w:ind w:firstLine="280"/>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3</w:t>
            </w:r>
          </w:p>
        </w:tc>
        <w:tc>
          <w:tcPr>
            <w:tcW w:w="488" w:type="dxa"/>
            <w:vAlign w:val="top"/>
          </w:tcPr>
          <w:p>
            <w:pPr>
              <w:spacing w:line="240" w:lineRule="auto"/>
              <w:jc w:val="left"/>
              <w:rPr>
                <w:rFonts w:ascii="Arial" w:hAnsi="Arial" w:eastAsia="Arial" w:cs="Arial"/>
                <w:sz w:val="21"/>
                <w:szCs w:val="21"/>
              </w:rPr>
            </w:pPr>
          </w:p>
          <w:p>
            <w:pPr>
              <w:spacing w:before="200" w:line="204" w:lineRule="auto"/>
              <w:ind w:firstLine="147"/>
              <w:jc w:val="left"/>
              <w:rPr>
                <w:rFonts w:ascii="仿宋" w:hAnsi="仿宋" w:eastAsia="仿宋" w:cs="仿宋"/>
                <w:sz w:val="21"/>
                <w:szCs w:val="21"/>
              </w:rPr>
            </w:pPr>
            <w:r>
              <w:rPr>
                <w:rFonts w:ascii="仿宋" w:hAnsi="仿宋" w:eastAsia="仿宋" w:cs="仿宋"/>
                <w:sz w:val="21"/>
                <w:szCs w:val="21"/>
              </w:rPr>
              <w:t>次</w:t>
            </w:r>
          </w:p>
        </w:tc>
        <w:tc>
          <w:tcPr>
            <w:tcW w:w="968" w:type="dxa"/>
            <w:vAlign w:val="top"/>
          </w:tcPr>
          <w:p>
            <w:pPr>
              <w:spacing w:line="240" w:lineRule="auto"/>
              <w:jc w:val="left"/>
              <w:rPr>
                <w:rFonts w:ascii="Arial" w:hAnsi="Arial" w:eastAsia="Arial" w:cs="Arial"/>
                <w:sz w:val="21"/>
                <w:szCs w:val="21"/>
              </w:rPr>
            </w:pPr>
          </w:p>
          <w:p>
            <w:pPr>
              <w:spacing w:before="200" w:line="204" w:lineRule="auto"/>
              <w:ind w:firstLine="18"/>
              <w:jc w:val="left"/>
              <w:rPr>
                <w:rFonts w:ascii="仿宋" w:hAnsi="仿宋" w:eastAsia="仿宋" w:cs="仿宋"/>
                <w:sz w:val="21"/>
                <w:szCs w:val="21"/>
              </w:rPr>
            </w:pPr>
            <w:r>
              <w:rPr>
                <w:rFonts w:ascii="仿宋" w:hAnsi="仿宋" w:eastAsia="仿宋" w:cs="仿宋"/>
                <w:spacing w:val="-3"/>
                <w:sz w:val="21"/>
                <w:szCs w:val="21"/>
              </w:rPr>
              <w:t>工作方案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0"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bottom w:val="nil"/>
            </w:tcBorders>
            <w:vAlign w:val="top"/>
          </w:tcPr>
          <w:p>
            <w:pPr>
              <w:spacing w:line="240" w:lineRule="auto"/>
              <w:jc w:val="left"/>
              <w:rPr>
                <w:rFonts w:ascii="Arial" w:hAnsi="Arial" w:eastAsia="Arial" w:cs="Arial"/>
                <w:sz w:val="21"/>
                <w:szCs w:val="21"/>
              </w:rPr>
            </w:pPr>
          </w:p>
        </w:tc>
        <w:tc>
          <w:tcPr>
            <w:tcW w:w="1129" w:type="dxa"/>
            <w:vAlign w:val="top"/>
          </w:tcPr>
          <w:p>
            <w:pPr>
              <w:spacing w:before="167" w:line="241" w:lineRule="auto"/>
              <w:ind w:left="22" w:right="6" w:firstLine="8"/>
              <w:jc w:val="left"/>
              <w:rPr>
                <w:rFonts w:ascii="仿宋" w:hAnsi="仿宋" w:eastAsia="仿宋" w:cs="仿宋"/>
                <w:sz w:val="21"/>
                <w:szCs w:val="21"/>
              </w:rPr>
            </w:pPr>
            <w:r>
              <w:rPr>
                <w:rFonts w:ascii="仿宋" w:hAnsi="仿宋" w:eastAsia="仿宋" w:cs="仿宋"/>
                <w:spacing w:val="6"/>
                <w:sz w:val="21"/>
                <w:szCs w:val="21"/>
              </w:rPr>
              <w:t>奖补企业数</w:t>
            </w:r>
            <w:r>
              <w:rPr>
                <w:rFonts w:ascii="仿宋" w:hAnsi="仿宋" w:eastAsia="仿宋" w:cs="仿宋"/>
                <w:spacing w:val="-81"/>
                <w:sz w:val="21"/>
                <w:szCs w:val="21"/>
              </w:rPr>
              <w:t xml:space="preserve"> </w:t>
            </w:r>
            <w:r>
              <w:rPr>
                <w:rFonts w:ascii="仿宋" w:hAnsi="仿宋" w:eastAsia="仿宋" w:cs="仿宋"/>
                <w:sz w:val="21"/>
                <w:szCs w:val="21"/>
              </w:rPr>
              <w:t>量</w:t>
            </w:r>
          </w:p>
        </w:tc>
        <w:tc>
          <w:tcPr>
            <w:tcW w:w="2181" w:type="dxa"/>
            <w:vAlign w:val="top"/>
          </w:tcPr>
          <w:p>
            <w:pPr>
              <w:spacing w:before="167" w:line="241" w:lineRule="auto"/>
              <w:ind w:left="16" w:right="7" w:firstLine="4"/>
              <w:jc w:val="left"/>
              <w:rPr>
                <w:rFonts w:ascii="仿宋" w:hAnsi="仿宋" w:eastAsia="仿宋" w:cs="仿宋"/>
                <w:sz w:val="21"/>
                <w:szCs w:val="21"/>
              </w:rPr>
            </w:pPr>
            <w:r>
              <w:rPr>
                <w:rFonts w:ascii="仿宋" w:hAnsi="仿宋" w:eastAsia="仿宋" w:cs="仿宋"/>
                <w:spacing w:val="22"/>
                <w:sz w:val="21"/>
                <w:szCs w:val="21"/>
              </w:rPr>
              <w:t>符合政府文件奖补得满</w:t>
            </w:r>
            <w:r>
              <w:rPr>
                <w:rFonts w:ascii="仿宋" w:hAnsi="仿宋" w:eastAsia="仿宋" w:cs="仿宋"/>
                <w:spacing w:val="-81"/>
                <w:sz w:val="21"/>
                <w:szCs w:val="21"/>
              </w:rPr>
              <w:t xml:space="preserve"> </w:t>
            </w:r>
            <w:r>
              <w:rPr>
                <w:rFonts w:ascii="仿宋" w:hAnsi="仿宋" w:eastAsia="仿宋" w:cs="仿宋"/>
                <w:spacing w:val="-1"/>
                <w:sz w:val="21"/>
                <w:szCs w:val="21"/>
              </w:rPr>
              <w:t>分，不符合不得分</w:t>
            </w:r>
          </w:p>
        </w:tc>
        <w:tc>
          <w:tcPr>
            <w:tcW w:w="1909" w:type="dxa"/>
            <w:vAlign w:val="top"/>
          </w:tcPr>
          <w:p>
            <w:pPr>
              <w:spacing w:before="32" w:line="222" w:lineRule="auto"/>
              <w:ind w:left="19" w:right="6" w:firstLine="3"/>
              <w:jc w:val="left"/>
              <w:rPr>
                <w:rFonts w:ascii="仿宋" w:hAnsi="仿宋" w:eastAsia="仿宋" w:cs="仿宋"/>
                <w:sz w:val="21"/>
                <w:szCs w:val="21"/>
              </w:rPr>
            </w:pPr>
            <w:r>
              <w:rPr>
                <w:rFonts w:ascii="仿宋" w:hAnsi="仿宋" w:eastAsia="仿宋" w:cs="仿宋"/>
                <w:spacing w:val="1"/>
                <w:sz w:val="21"/>
                <w:szCs w:val="21"/>
              </w:rPr>
              <w:t>主要考核天然气迎</w:t>
            </w:r>
            <w:r>
              <w:rPr>
                <w:rFonts w:ascii="仿宋" w:hAnsi="仿宋" w:eastAsia="仿宋" w:cs="仿宋"/>
                <w:spacing w:val="-82"/>
                <w:sz w:val="21"/>
                <w:szCs w:val="21"/>
              </w:rPr>
              <w:t xml:space="preserve"> </w:t>
            </w:r>
            <w:r>
              <w:rPr>
                <w:rFonts w:ascii="仿宋" w:hAnsi="仿宋" w:eastAsia="仿宋" w:cs="仿宋"/>
                <w:spacing w:val="1"/>
                <w:sz w:val="21"/>
                <w:szCs w:val="21"/>
              </w:rPr>
              <w:t>峰度冬应急保障奖</w:t>
            </w:r>
            <w:r>
              <w:rPr>
                <w:rFonts w:ascii="仿宋" w:hAnsi="仿宋" w:eastAsia="仿宋" w:cs="仿宋"/>
                <w:spacing w:val="-78"/>
                <w:sz w:val="21"/>
                <w:szCs w:val="21"/>
              </w:rPr>
              <w:t xml:space="preserve"> </w:t>
            </w:r>
            <w:r>
              <w:rPr>
                <w:rFonts w:ascii="仿宋" w:hAnsi="仿宋" w:eastAsia="仿宋" w:cs="仿宋"/>
                <w:spacing w:val="-3"/>
                <w:sz w:val="21"/>
                <w:szCs w:val="21"/>
              </w:rPr>
              <w:t>补企业数量</w:t>
            </w:r>
          </w:p>
        </w:tc>
        <w:tc>
          <w:tcPr>
            <w:tcW w:w="469" w:type="dxa"/>
            <w:vAlign w:val="top"/>
          </w:tcPr>
          <w:p>
            <w:pPr>
              <w:spacing w:line="240" w:lineRule="auto"/>
              <w:jc w:val="left"/>
              <w:rPr>
                <w:rFonts w:ascii="Arial" w:hAnsi="Arial" w:eastAsia="Arial" w:cs="Arial"/>
                <w:sz w:val="21"/>
                <w:szCs w:val="21"/>
              </w:rPr>
            </w:pPr>
          </w:p>
          <w:p>
            <w:pPr>
              <w:spacing w:before="89" w:line="204" w:lineRule="auto"/>
              <w:ind w:firstLine="176"/>
              <w:jc w:val="left"/>
              <w:rPr>
                <w:rFonts w:ascii="仿宋" w:hAnsi="仿宋" w:eastAsia="仿宋" w:cs="仿宋"/>
                <w:sz w:val="21"/>
                <w:szCs w:val="21"/>
              </w:rPr>
            </w:pPr>
            <w:r>
              <w:rPr>
                <w:rFonts w:ascii="仿宋" w:hAnsi="仿宋" w:eastAsia="仿宋" w:cs="仿宋"/>
                <w:sz w:val="21"/>
                <w:szCs w:val="21"/>
              </w:rPr>
              <w:t>≥</w:t>
            </w:r>
          </w:p>
        </w:tc>
        <w:tc>
          <w:tcPr>
            <w:tcW w:w="661" w:type="dxa"/>
            <w:vAlign w:val="top"/>
          </w:tcPr>
          <w:p>
            <w:pPr>
              <w:spacing w:line="240" w:lineRule="auto"/>
              <w:jc w:val="left"/>
              <w:rPr>
                <w:rFonts w:ascii="Arial" w:hAnsi="Arial" w:eastAsia="Arial" w:cs="Arial"/>
                <w:sz w:val="21"/>
                <w:szCs w:val="21"/>
              </w:rPr>
            </w:pPr>
          </w:p>
          <w:p>
            <w:pPr>
              <w:spacing w:before="100" w:line="204" w:lineRule="auto"/>
              <w:ind w:firstLine="296"/>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488" w:type="dxa"/>
            <w:vAlign w:val="top"/>
          </w:tcPr>
          <w:p>
            <w:pPr>
              <w:spacing w:before="304" w:line="204" w:lineRule="auto"/>
              <w:ind w:firstLine="145"/>
              <w:jc w:val="left"/>
              <w:rPr>
                <w:rFonts w:ascii="仿宋" w:hAnsi="仿宋" w:eastAsia="仿宋" w:cs="仿宋"/>
                <w:sz w:val="21"/>
                <w:szCs w:val="21"/>
              </w:rPr>
            </w:pPr>
            <w:r>
              <w:rPr>
                <w:rFonts w:ascii="仿宋" w:hAnsi="仿宋" w:eastAsia="仿宋" w:cs="仿宋"/>
                <w:sz w:val="21"/>
                <w:szCs w:val="21"/>
              </w:rPr>
              <w:t>家</w:t>
            </w:r>
          </w:p>
        </w:tc>
        <w:tc>
          <w:tcPr>
            <w:tcW w:w="968" w:type="dxa"/>
            <w:vAlign w:val="top"/>
          </w:tcPr>
          <w:p>
            <w:pPr>
              <w:spacing w:before="304" w:line="204" w:lineRule="auto"/>
              <w:ind w:firstLine="17"/>
              <w:jc w:val="left"/>
              <w:rPr>
                <w:rFonts w:ascii="仿宋" w:hAnsi="仿宋" w:eastAsia="仿宋" w:cs="仿宋"/>
                <w:sz w:val="21"/>
                <w:szCs w:val="21"/>
              </w:rPr>
            </w:pPr>
            <w:r>
              <w:rPr>
                <w:rFonts w:ascii="仿宋" w:hAnsi="仿宋" w:eastAsia="仿宋" w:cs="仿宋"/>
                <w:spacing w:val="-3"/>
                <w:sz w:val="21"/>
                <w:szCs w:val="21"/>
              </w:rPr>
              <w:t>政府文件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46"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bottom w:val="nil"/>
            </w:tcBorders>
            <w:vAlign w:val="top"/>
          </w:tcPr>
          <w:p>
            <w:pPr>
              <w:spacing w:line="240" w:lineRule="auto"/>
              <w:jc w:val="left"/>
              <w:rPr>
                <w:rFonts w:ascii="Arial" w:hAnsi="Arial" w:eastAsia="Arial" w:cs="Arial"/>
                <w:sz w:val="21"/>
                <w:szCs w:val="21"/>
              </w:rPr>
            </w:pPr>
          </w:p>
        </w:tc>
        <w:tc>
          <w:tcPr>
            <w:tcW w:w="1129" w:type="dxa"/>
            <w:vAlign w:val="top"/>
          </w:tcPr>
          <w:p>
            <w:pPr>
              <w:spacing w:before="31" w:line="213" w:lineRule="auto"/>
              <w:ind w:left="22" w:right="6" w:firstLine="11"/>
              <w:jc w:val="left"/>
              <w:rPr>
                <w:rFonts w:ascii="仿宋" w:hAnsi="仿宋" w:eastAsia="仿宋" w:cs="仿宋"/>
                <w:sz w:val="21"/>
                <w:szCs w:val="21"/>
              </w:rPr>
            </w:pPr>
            <w:r>
              <w:rPr>
                <w:rFonts w:ascii="仿宋" w:hAnsi="仿宋" w:eastAsia="仿宋" w:cs="仿宋"/>
                <w:spacing w:val="6"/>
                <w:sz w:val="21"/>
                <w:szCs w:val="21"/>
              </w:rPr>
              <w:t>隔离观察点</w:t>
            </w:r>
            <w:r>
              <w:rPr>
                <w:rFonts w:ascii="仿宋" w:hAnsi="仿宋" w:eastAsia="仿宋" w:cs="仿宋"/>
                <w:spacing w:val="-85"/>
                <w:sz w:val="21"/>
                <w:szCs w:val="21"/>
              </w:rPr>
              <w:t xml:space="preserve"> </w:t>
            </w:r>
            <w:r>
              <w:rPr>
                <w:rFonts w:ascii="仿宋" w:hAnsi="仿宋" w:eastAsia="仿宋" w:cs="仿宋"/>
                <w:spacing w:val="-3"/>
                <w:sz w:val="21"/>
                <w:szCs w:val="21"/>
              </w:rPr>
              <w:t>数量</w:t>
            </w:r>
          </w:p>
        </w:tc>
        <w:tc>
          <w:tcPr>
            <w:tcW w:w="2181" w:type="dxa"/>
            <w:vAlign w:val="top"/>
          </w:tcPr>
          <w:p>
            <w:pPr>
              <w:spacing w:before="31" w:line="213" w:lineRule="auto"/>
              <w:ind w:left="19" w:right="7" w:firstLine="1"/>
              <w:jc w:val="left"/>
              <w:rPr>
                <w:rFonts w:ascii="仿宋" w:hAnsi="仿宋" w:eastAsia="仿宋" w:cs="仿宋"/>
                <w:sz w:val="21"/>
                <w:szCs w:val="21"/>
              </w:rPr>
            </w:pPr>
            <w:r>
              <w:rPr>
                <w:rFonts w:ascii="仿宋" w:hAnsi="仿宋" w:eastAsia="仿宋" w:cs="仿宋"/>
                <w:spacing w:val="-1"/>
                <w:sz w:val="21"/>
                <w:szCs w:val="21"/>
              </w:rPr>
              <w:t>符合要求的满分，</w:t>
            </w:r>
            <w:r>
              <w:rPr>
                <w:rFonts w:ascii="仿宋" w:hAnsi="仿宋" w:eastAsia="仿宋" w:cs="仿宋"/>
                <w:spacing w:val="-80"/>
                <w:sz w:val="21"/>
                <w:szCs w:val="21"/>
              </w:rPr>
              <w:t xml:space="preserve"> </w:t>
            </w:r>
            <w:r>
              <w:rPr>
                <w:rFonts w:ascii="仿宋" w:hAnsi="仿宋" w:eastAsia="仿宋" w:cs="仿宋"/>
                <w:spacing w:val="-1"/>
                <w:sz w:val="21"/>
                <w:szCs w:val="21"/>
              </w:rPr>
              <w:t>不符合</w:t>
            </w:r>
            <w:r>
              <w:rPr>
                <w:rFonts w:ascii="仿宋" w:hAnsi="仿宋" w:eastAsia="仿宋" w:cs="仿宋"/>
                <w:spacing w:val="-85"/>
                <w:sz w:val="21"/>
                <w:szCs w:val="21"/>
              </w:rPr>
              <w:t xml:space="preserve"> </w:t>
            </w:r>
            <w:r>
              <w:rPr>
                <w:rFonts w:ascii="仿宋" w:hAnsi="仿宋" w:eastAsia="仿宋" w:cs="仿宋"/>
                <w:spacing w:val="-2"/>
                <w:sz w:val="21"/>
                <w:szCs w:val="21"/>
              </w:rPr>
              <w:t>不得分</w:t>
            </w:r>
          </w:p>
        </w:tc>
        <w:tc>
          <w:tcPr>
            <w:tcW w:w="1909" w:type="dxa"/>
            <w:vAlign w:val="top"/>
          </w:tcPr>
          <w:p>
            <w:pPr>
              <w:spacing w:before="31" w:line="213" w:lineRule="auto"/>
              <w:ind w:left="31" w:right="8" w:hanging="8"/>
              <w:jc w:val="left"/>
              <w:rPr>
                <w:rFonts w:ascii="仿宋" w:hAnsi="仿宋" w:eastAsia="仿宋" w:cs="仿宋"/>
                <w:sz w:val="21"/>
                <w:szCs w:val="21"/>
              </w:rPr>
            </w:pPr>
            <w:r>
              <w:rPr>
                <w:rFonts w:ascii="仿宋" w:hAnsi="仿宋" w:eastAsia="仿宋" w:cs="仿宋"/>
                <w:spacing w:val="1"/>
                <w:sz w:val="21"/>
                <w:szCs w:val="21"/>
              </w:rPr>
              <w:t>主要考核拨付医学</w:t>
            </w:r>
            <w:r>
              <w:rPr>
                <w:rFonts w:ascii="仿宋" w:hAnsi="仿宋" w:eastAsia="仿宋" w:cs="仿宋"/>
                <w:spacing w:val="-84"/>
                <w:sz w:val="21"/>
                <w:szCs w:val="21"/>
              </w:rPr>
              <w:t xml:space="preserve"> </w:t>
            </w:r>
            <w:r>
              <w:rPr>
                <w:rFonts w:ascii="仿宋" w:hAnsi="仿宋" w:eastAsia="仿宋" w:cs="仿宋"/>
                <w:spacing w:val="-4"/>
                <w:sz w:val="21"/>
                <w:szCs w:val="21"/>
              </w:rPr>
              <w:t>隔离观察点数量</w:t>
            </w:r>
          </w:p>
        </w:tc>
        <w:tc>
          <w:tcPr>
            <w:tcW w:w="469" w:type="dxa"/>
            <w:vAlign w:val="top"/>
          </w:tcPr>
          <w:p>
            <w:pPr>
              <w:spacing w:before="193" w:line="204" w:lineRule="auto"/>
              <w:ind w:firstLine="176"/>
              <w:jc w:val="left"/>
              <w:rPr>
                <w:rFonts w:ascii="仿宋" w:hAnsi="仿宋" w:eastAsia="仿宋" w:cs="仿宋"/>
                <w:sz w:val="21"/>
                <w:szCs w:val="21"/>
              </w:rPr>
            </w:pPr>
            <w:r>
              <w:rPr>
                <w:rFonts w:ascii="仿宋" w:hAnsi="仿宋" w:eastAsia="仿宋" w:cs="仿宋"/>
                <w:sz w:val="21"/>
                <w:szCs w:val="21"/>
              </w:rPr>
              <w:t>≥</w:t>
            </w:r>
          </w:p>
        </w:tc>
        <w:tc>
          <w:tcPr>
            <w:tcW w:w="661" w:type="dxa"/>
            <w:vAlign w:val="top"/>
          </w:tcPr>
          <w:p>
            <w:pPr>
              <w:spacing w:before="204" w:line="204" w:lineRule="auto"/>
              <w:ind w:firstLine="296"/>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488" w:type="dxa"/>
            <w:vAlign w:val="top"/>
          </w:tcPr>
          <w:p>
            <w:pPr>
              <w:spacing w:before="167" w:line="204" w:lineRule="auto"/>
              <w:ind w:firstLine="142"/>
              <w:jc w:val="left"/>
              <w:rPr>
                <w:rFonts w:ascii="仿宋" w:hAnsi="仿宋" w:eastAsia="仿宋" w:cs="仿宋"/>
                <w:sz w:val="21"/>
                <w:szCs w:val="21"/>
              </w:rPr>
            </w:pPr>
            <w:r>
              <w:rPr>
                <w:rFonts w:ascii="仿宋" w:hAnsi="仿宋" w:eastAsia="仿宋" w:cs="仿宋"/>
                <w:sz w:val="21"/>
                <w:szCs w:val="21"/>
              </w:rPr>
              <w:t>个</w:t>
            </w:r>
          </w:p>
        </w:tc>
        <w:tc>
          <w:tcPr>
            <w:tcW w:w="968" w:type="dxa"/>
            <w:vAlign w:val="top"/>
          </w:tcPr>
          <w:p>
            <w:pPr>
              <w:spacing w:before="31" w:line="213" w:lineRule="auto"/>
              <w:ind w:left="21" w:right="7" w:hanging="10"/>
              <w:jc w:val="left"/>
              <w:rPr>
                <w:rFonts w:ascii="仿宋" w:hAnsi="仿宋" w:eastAsia="仿宋" w:cs="仿宋"/>
                <w:sz w:val="21"/>
                <w:szCs w:val="21"/>
              </w:rPr>
            </w:pPr>
            <w:r>
              <w:rPr>
                <w:rFonts w:ascii="仿宋" w:hAnsi="仿宋" w:eastAsia="仿宋" w:cs="仿宋"/>
                <w:spacing w:val="-17"/>
                <w:sz w:val="21"/>
                <w:szCs w:val="21"/>
              </w:rPr>
              <w:t>拨</w:t>
            </w:r>
            <w:r>
              <w:rPr>
                <w:rFonts w:ascii="仿宋" w:hAnsi="仿宋" w:eastAsia="仿宋" w:cs="仿宋"/>
                <w:spacing w:val="-54"/>
                <w:sz w:val="21"/>
                <w:szCs w:val="21"/>
              </w:rPr>
              <w:t xml:space="preserve"> </w:t>
            </w:r>
            <w:r>
              <w:rPr>
                <w:rFonts w:ascii="仿宋" w:hAnsi="仿宋" w:eastAsia="仿宋" w:cs="仿宋"/>
                <w:spacing w:val="-17"/>
                <w:sz w:val="21"/>
                <w:szCs w:val="21"/>
              </w:rPr>
              <w:t>付</w:t>
            </w:r>
            <w:r>
              <w:rPr>
                <w:rFonts w:ascii="仿宋" w:hAnsi="仿宋" w:eastAsia="仿宋" w:cs="仿宋"/>
                <w:spacing w:val="-29"/>
                <w:sz w:val="21"/>
                <w:szCs w:val="21"/>
              </w:rPr>
              <w:t xml:space="preserve"> </w:t>
            </w:r>
            <w:r>
              <w:rPr>
                <w:rFonts w:ascii="仿宋" w:hAnsi="仿宋" w:eastAsia="仿宋" w:cs="仿宋"/>
                <w:spacing w:val="-17"/>
                <w:sz w:val="21"/>
                <w:szCs w:val="21"/>
              </w:rPr>
              <w:t>申</w:t>
            </w:r>
            <w:r>
              <w:rPr>
                <w:rFonts w:ascii="仿宋" w:hAnsi="仿宋" w:eastAsia="仿宋" w:cs="仿宋"/>
                <w:spacing w:val="-64"/>
                <w:sz w:val="21"/>
                <w:szCs w:val="21"/>
              </w:rPr>
              <w:t xml:space="preserve"> </w:t>
            </w:r>
            <w:r>
              <w:rPr>
                <w:rFonts w:ascii="仿宋" w:hAnsi="仿宋" w:eastAsia="仿宋" w:cs="仿宋"/>
                <w:spacing w:val="-17"/>
                <w:sz w:val="21"/>
                <w:szCs w:val="21"/>
              </w:rPr>
              <w:t>请</w:t>
            </w:r>
            <w:r>
              <w:rPr>
                <w:rFonts w:ascii="仿宋" w:hAnsi="仿宋" w:eastAsia="仿宋" w:cs="仿宋"/>
                <w:spacing w:val="-85"/>
                <w:sz w:val="21"/>
                <w:szCs w:val="21"/>
              </w:rPr>
              <w:t xml:space="preserve"> </w:t>
            </w:r>
            <w:r>
              <w:rPr>
                <w:rFonts w:ascii="仿宋" w:hAnsi="仿宋" w:eastAsia="仿宋" w:cs="仿宋"/>
                <w:spacing w:val="-4"/>
                <w:sz w:val="21"/>
                <w:szCs w:val="21"/>
              </w:rPr>
              <w:t>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1"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bottom w:val="nil"/>
            </w:tcBorders>
            <w:vAlign w:val="top"/>
          </w:tcPr>
          <w:p>
            <w:pPr>
              <w:spacing w:line="240" w:lineRule="auto"/>
              <w:jc w:val="left"/>
              <w:rPr>
                <w:rFonts w:ascii="Arial" w:hAnsi="Arial" w:eastAsia="Arial" w:cs="Arial"/>
                <w:sz w:val="21"/>
                <w:szCs w:val="21"/>
              </w:rPr>
            </w:pPr>
          </w:p>
        </w:tc>
        <w:tc>
          <w:tcPr>
            <w:tcW w:w="1129" w:type="dxa"/>
            <w:vAlign w:val="top"/>
          </w:tcPr>
          <w:p>
            <w:pPr>
              <w:spacing w:before="30" w:line="222" w:lineRule="auto"/>
              <w:ind w:left="13" w:right="6" w:firstLine="1"/>
              <w:jc w:val="left"/>
              <w:rPr>
                <w:rFonts w:ascii="仿宋" w:hAnsi="仿宋" w:eastAsia="仿宋" w:cs="仿宋"/>
                <w:sz w:val="21"/>
                <w:szCs w:val="21"/>
              </w:rPr>
            </w:pPr>
            <w:r>
              <w:rPr>
                <w:rFonts w:ascii="仿宋" w:hAnsi="仿宋" w:eastAsia="仿宋" w:cs="仿宋"/>
                <w:spacing w:val="9"/>
                <w:sz w:val="21"/>
                <w:szCs w:val="21"/>
              </w:rPr>
              <w:t>拨付相关县</w:t>
            </w:r>
            <w:r>
              <w:rPr>
                <w:rFonts w:ascii="仿宋" w:hAnsi="仿宋" w:eastAsia="仿宋" w:cs="仿宋"/>
                <w:spacing w:val="-81"/>
                <w:sz w:val="21"/>
                <w:szCs w:val="21"/>
              </w:rPr>
              <w:t xml:space="preserve"> </w:t>
            </w:r>
            <w:r>
              <w:rPr>
                <w:rFonts w:ascii="仿宋" w:hAnsi="仿宋" w:eastAsia="仿宋" w:cs="仿宋"/>
                <w:spacing w:val="10"/>
                <w:sz w:val="21"/>
                <w:szCs w:val="21"/>
              </w:rPr>
              <w:t>市区项目单</w:t>
            </w:r>
            <w:r>
              <w:rPr>
                <w:rFonts w:ascii="仿宋" w:hAnsi="仿宋" w:eastAsia="仿宋" w:cs="仿宋"/>
                <w:spacing w:val="-85"/>
                <w:sz w:val="21"/>
                <w:szCs w:val="21"/>
              </w:rPr>
              <w:t xml:space="preserve"> </w:t>
            </w:r>
            <w:r>
              <w:rPr>
                <w:rFonts w:ascii="仿宋" w:hAnsi="仿宋" w:eastAsia="仿宋" w:cs="仿宋"/>
                <w:spacing w:val="-1"/>
                <w:sz w:val="21"/>
                <w:szCs w:val="21"/>
              </w:rPr>
              <w:t>位个数</w:t>
            </w:r>
          </w:p>
        </w:tc>
        <w:tc>
          <w:tcPr>
            <w:tcW w:w="2181" w:type="dxa"/>
            <w:vAlign w:val="top"/>
          </w:tcPr>
          <w:p>
            <w:pPr>
              <w:spacing w:before="167" w:line="241" w:lineRule="auto"/>
              <w:ind w:left="19" w:right="7" w:firstLine="1"/>
              <w:jc w:val="left"/>
              <w:rPr>
                <w:rFonts w:ascii="仿宋" w:hAnsi="仿宋" w:eastAsia="仿宋" w:cs="仿宋"/>
                <w:sz w:val="21"/>
                <w:szCs w:val="21"/>
              </w:rPr>
            </w:pPr>
            <w:r>
              <w:rPr>
                <w:rFonts w:ascii="仿宋" w:hAnsi="仿宋" w:eastAsia="仿宋" w:cs="仿宋"/>
                <w:spacing w:val="-1"/>
                <w:sz w:val="21"/>
                <w:szCs w:val="21"/>
              </w:rPr>
              <w:t>符合要求的满分，</w:t>
            </w:r>
            <w:r>
              <w:rPr>
                <w:rFonts w:ascii="仿宋" w:hAnsi="仿宋" w:eastAsia="仿宋" w:cs="仿宋"/>
                <w:spacing w:val="-80"/>
                <w:sz w:val="21"/>
                <w:szCs w:val="21"/>
              </w:rPr>
              <w:t xml:space="preserve"> </w:t>
            </w:r>
            <w:r>
              <w:rPr>
                <w:rFonts w:ascii="仿宋" w:hAnsi="仿宋" w:eastAsia="仿宋" w:cs="仿宋"/>
                <w:spacing w:val="-1"/>
                <w:sz w:val="21"/>
                <w:szCs w:val="21"/>
              </w:rPr>
              <w:t>不符合</w:t>
            </w:r>
            <w:r>
              <w:rPr>
                <w:rFonts w:ascii="仿宋" w:hAnsi="仿宋" w:eastAsia="仿宋" w:cs="仿宋"/>
                <w:spacing w:val="-85"/>
                <w:sz w:val="21"/>
                <w:szCs w:val="21"/>
              </w:rPr>
              <w:t xml:space="preserve"> </w:t>
            </w:r>
            <w:r>
              <w:rPr>
                <w:rFonts w:ascii="仿宋" w:hAnsi="仿宋" w:eastAsia="仿宋" w:cs="仿宋"/>
                <w:spacing w:val="-2"/>
                <w:sz w:val="21"/>
                <w:szCs w:val="21"/>
              </w:rPr>
              <w:t>不得分</w:t>
            </w:r>
          </w:p>
        </w:tc>
        <w:tc>
          <w:tcPr>
            <w:tcW w:w="1909" w:type="dxa"/>
            <w:vAlign w:val="top"/>
          </w:tcPr>
          <w:p>
            <w:pPr>
              <w:spacing w:before="30" w:line="222" w:lineRule="auto"/>
              <w:ind w:left="22" w:right="8" w:hanging="10"/>
              <w:jc w:val="left"/>
              <w:rPr>
                <w:rFonts w:ascii="仿宋" w:hAnsi="仿宋" w:eastAsia="仿宋" w:cs="仿宋"/>
                <w:sz w:val="21"/>
                <w:szCs w:val="21"/>
              </w:rPr>
            </w:pPr>
            <w:r>
              <w:rPr>
                <w:rFonts w:ascii="仿宋" w:hAnsi="仿宋" w:eastAsia="仿宋" w:cs="仿宋"/>
                <w:spacing w:val="2"/>
                <w:sz w:val="21"/>
                <w:szCs w:val="21"/>
              </w:rPr>
              <w:t>该指标主要考核重</w:t>
            </w:r>
            <w:r>
              <w:rPr>
                <w:rFonts w:ascii="仿宋" w:hAnsi="仿宋" w:eastAsia="仿宋" w:cs="仿宋"/>
                <w:spacing w:val="-81"/>
                <w:sz w:val="21"/>
                <w:szCs w:val="21"/>
              </w:rPr>
              <w:t xml:space="preserve"> </w:t>
            </w:r>
            <w:r>
              <w:rPr>
                <w:rFonts w:ascii="仿宋" w:hAnsi="仿宋" w:eastAsia="仿宋" w:cs="仿宋"/>
                <w:spacing w:val="1"/>
                <w:sz w:val="21"/>
                <w:szCs w:val="21"/>
              </w:rPr>
              <w:t>点项目资金拨付相</w:t>
            </w:r>
            <w:r>
              <w:rPr>
                <w:rFonts w:ascii="仿宋" w:hAnsi="仿宋" w:eastAsia="仿宋" w:cs="仿宋"/>
                <w:spacing w:val="-84"/>
                <w:sz w:val="21"/>
                <w:szCs w:val="21"/>
              </w:rPr>
              <w:t xml:space="preserve"> </w:t>
            </w:r>
            <w:r>
              <w:rPr>
                <w:rFonts w:ascii="仿宋" w:hAnsi="仿宋" w:eastAsia="仿宋" w:cs="仿宋"/>
                <w:spacing w:val="-3"/>
                <w:sz w:val="21"/>
                <w:szCs w:val="21"/>
              </w:rPr>
              <w:t>关县市区个数</w:t>
            </w:r>
          </w:p>
        </w:tc>
        <w:tc>
          <w:tcPr>
            <w:tcW w:w="469" w:type="dxa"/>
            <w:vAlign w:val="top"/>
          </w:tcPr>
          <w:p>
            <w:pPr>
              <w:spacing w:line="240" w:lineRule="auto"/>
              <w:jc w:val="left"/>
              <w:rPr>
                <w:rFonts w:ascii="Arial" w:hAnsi="Arial" w:eastAsia="Arial" w:cs="Arial"/>
                <w:sz w:val="21"/>
                <w:szCs w:val="21"/>
              </w:rPr>
            </w:pPr>
          </w:p>
          <w:p>
            <w:pPr>
              <w:spacing w:before="89" w:line="204" w:lineRule="auto"/>
              <w:ind w:firstLine="176"/>
              <w:jc w:val="left"/>
              <w:rPr>
                <w:rFonts w:ascii="仿宋" w:hAnsi="仿宋" w:eastAsia="仿宋" w:cs="仿宋"/>
                <w:sz w:val="21"/>
                <w:szCs w:val="21"/>
              </w:rPr>
            </w:pPr>
            <w:r>
              <w:rPr>
                <w:rFonts w:ascii="仿宋" w:hAnsi="仿宋" w:eastAsia="仿宋" w:cs="仿宋"/>
                <w:sz w:val="21"/>
                <w:szCs w:val="21"/>
              </w:rPr>
              <w:t>≥</w:t>
            </w:r>
          </w:p>
        </w:tc>
        <w:tc>
          <w:tcPr>
            <w:tcW w:w="661" w:type="dxa"/>
            <w:vAlign w:val="top"/>
          </w:tcPr>
          <w:p>
            <w:pPr>
              <w:spacing w:line="240" w:lineRule="auto"/>
              <w:jc w:val="left"/>
              <w:rPr>
                <w:rFonts w:ascii="Arial" w:hAnsi="Arial" w:eastAsia="Arial" w:cs="Arial"/>
                <w:sz w:val="21"/>
                <w:szCs w:val="21"/>
              </w:rPr>
            </w:pPr>
          </w:p>
          <w:p>
            <w:pPr>
              <w:spacing w:before="100" w:line="204" w:lineRule="auto"/>
              <w:ind w:firstLine="280"/>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9</w:t>
            </w:r>
          </w:p>
        </w:tc>
        <w:tc>
          <w:tcPr>
            <w:tcW w:w="488" w:type="dxa"/>
            <w:vAlign w:val="top"/>
          </w:tcPr>
          <w:p>
            <w:pPr>
              <w:spacing w:before="305" w:line="204" w:lineRule="auto"/>
              <w:ind w:firstLine="142"/>
              <w:jc w:val="left"/>
              <w:rPr>
                <w:rFonts w:ascii="仿宋" w:hAnsi="仿宋" w:eastAsia="仿宋" w:cs="仿宋"/>
                <w:sz w:val="21"/>
                <w:szCs w:val="21"/>
              </w:rPr>
            </w:pPr>
            <w:r>
              <w:rPr>
                <w:rFonts w:ascii="仿宋" w:hAnsi="仿宋" w:eastAsia="仿宋" w:cs="仿宋"/>
                <w:sz w:val="21"/>
                <w:szCs w:val="21"/>
              </w:rPr>
              <w:t>个</w:t>
            </w:r>
          </w:p>
        </w:tc>
        <w:tc>
          <w:tcPr>
            <w:tcW w:w="968" w:type="dxa"/>
            <w:vAlign w:val="top"/>
          </w:tcPr>
          <w:p>
            <w:pPr>
              <w:spacing w:before="167" w:line="241" w:lineRule="auto"/>
              <w:ind w:left="21" w:right="7" w:hanging="10"/>
              <w:jc w:val="left"/>
              <w:rPr>
                <w:rFonts w:ascii="仿宋" w:hAnsi="仿宋" w:eastAsia="仿宋" w:cs="仿宋"/>
                <w:sz w:val="21"/>
                <w:szCs w:val="21"/>
              </w:rPr>
            </w:pPr>
            <w:r>
              <w:rPr>
                <w:rFonts w:ascii="仿宋" w:hAnsi="仿宋" w:eastAsia="仿宋" w:cs="仿宋"/>
                <w:spacing w:val="-17"/>
                <w:sz w:val="21"/>
                <w:szCs w:val="21"/>
              </w:rPr>
              <w:t>拨</w:t>
            </w:r>
            <w:r>
              <w:rPr>
                <w:rFonts w:ascii="仿宋" w:hAnsi="仿宋" w:eastAsia="仿宋" w:cs="仿宋"/>
                <w:spacing w:val="-54"/>
                <w:sz w:val="21"/>
                <w:szCs w:val="21"/>
              </w:rPr>
              <w:t xml:space="preserve"> </w:t>
            </w:r>
            <w:r>
              <w:rPr>
                <w:rFonts w:ascii="仿宋" w:hAnsi="仿宋" w:eastAsia="仿宋" w:cs="仿宋"/>
                <w:spacing w:val="-17"/>
                <w:sz w:val="21"/>
                <w:szCs w:val="21"/>
              </w:rPr>
              <w:t>付</w:t>
            </w:r>
            <w:r>
              <w:rPr>
                <w:rFonts w:ascii="仿宋" w:hAnsi="仿宋" w:eastAsia="仿宋" w:cs="仿宋"/>
                <w:spacing w:val="-29"/>
                <w:sz w:val="21"/>
                <w:szCs w:val="21"/>
              </w:rPr>
              <w:t xml:space="preserve"> </w:t>
            </w:r>
            <w:r>
              <w:rPr>
                <w:rFonts w:ascii="仿宋" w:hAnsi="仿宋" w:eastAsia="仿宋" w:cs="仿宋"/>
                <w:spacing w:val="-17"/>
                <w:sz w:val="21"/>
                <w:szCs w:val="21"/>
              </w:rPr>
              <w:t>申</w:t>
            </w:r>
            <w:r>
              <w:rPr>
                <w:rFonts w:ascii="仿宋" w:hAnsi="仿宋" w:eastAsia="仿宋" w:cs="仿宋"/>
                <w:spacing w:val="-64"/>
                <w:sz w:val="21"/>
                <w:szCs w:val="21"/>
              </w:rPr>
              <w:t xml:space="preserve"> </w:t>
            </w:r>
            <w:r>
              <w:rPr>
                <w:rFonts w:ascii="仿宋" w:hAnsi="仿宋" w:eastAsia="仿宋" w:cs="仿宋"/>
                <w:spacing w:val="-17"/>
                <w:sz w:val="21"/>
                <w:szCs w:val="21"/>
              </w:rPr>
              <w:t>请</w:t>
            </w:r>
            <w:r>
              <w:rPr>
                <w:rFonts w:ascii="仿宋" w:hAnsi="仿宋" w:eastAsia="仿宋" w:cs="仿宋"/>
                <w:spacing w:val="-85"/>
                <w:sz w:val="21"/>
                <w:szCs w:val="21"/>
              </w:rPr>
              <w:t xml:space="preserve"> </w:t>
            </w:r>
            <w:r>
              <w:rPr>
                <w:rFonts w:ascii="仿宋" w:hAnsi="仿宋" w:eastAsia="仿宋" w:cs="仿宋"/>
                <w:spacing w:val="-4"/>
                <w:sz w:val="21"/>
                <w:szCs w:val="21"/>
              </w:rPr>
              <w:t>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18"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tcBorders>
            <w:vAlign w:val="top"/>
          </w:tcPr>
          <w:p>
            <w:pPr>
              <w:spacing w:line="240" w:lineRule="auto"/>
              <w:jc w:val="left"/>
              <w:rPr>
                <w:rFonts w:ascii="Arial" w:hAnsi="Arial" w:eastAsia="Arial" w:cs="Arial"/>
                <w:sz w:val="21"/>
                <w:szCs w:val="21"/>
              </w:rPr>
            </w:pPr>
          </w:p>
        </w:tc>
        <w:tc>
          <w:tcPr>
            <w:tcW w:w="1129" w:type="dxa"/>
            <w:vAlign w:val="top"/>
          </w:tcPr>
          <w:p>
            <w:pPr>
              <w:spacing w:before="168" w:line="238" w:lineRule="auto"/>
              <w:ind w:left="14" w:right="6" w:firstLine="27"/>
              <w:jc w:val="left"/>
              <w:rPr>
                <w:rFonts w:ascii="仿宋" w:hAnsi="仿宋" w:eastAsia="仿宋" w:cs="仿宋"/>
                <w:sz w:val="21"/>
                <w:szCs w:val="21"/>
              </w:rPr>
            </w:pPr>
            <w:r>
              <w:rPr>
                <w:rFonts w:ascii="仿宋" w:hAnsi="仿宋" w:eastAsia="仿宋" w:cs="仿宋"/>
                <w:spacing w:val="4"/>
                <w:sz w:val="21"/>
                <w:szCs w:val="21"/>
              </w:rPr>
              <w:t>电代煤安全</w:t>
            </w:r>
            <w:r>
              <w:rPr>
                <w:rFonts w:ascii="仿宋" w:hAnsi="仿宋" w:eastAsia="仿宋" w:cs="仿宋"/>
                <w:spacing w:val="-83"/>
                <w:sz w:val="21"/>
                <w:szCs w:val="21"/>
              </w:rPr>
              <w:t xml:space="preserve"> </w:t>
            </w:r>
            <w:r>
              <w:rPr>
                <w:rFonts w:ascii="仿宋" w:hAnsi="仿宋" w:eastAsia="仿宋" w:cs="仿宋"/>
                <w:spacing w:val="-1"/>
                <w:sz w:val="21"/>
                <w:szCs w:val="21"/>
              </w:rPr>
              <w:t>检查报告</w:t>
            </w:r>
          </w:p>
        </w:tc>
        <w:tc>
          <w:tcPr>
            <w:tcW w:w="2181" w:type="dxa"/>
            <w:vAlign w:val="top"/>
          </w:tcPr>
          <w:p>
            <w:pPr>
              <w:spacing w:before="29" w:line="222" w:lineRule="auto"/>
              <w:ind w:left="19" w:right="7" w:firstLine="7"/>
              <w:jc w:val="left"/>
              <w:rPr>
                <w:rFonts w:ascii="仿宋" w:hAnsi="仿宋" w:eastAsia="仿宋" w:cs="仿宋"/>
                <w:sz w:val="21"/>
                <w:szCs w:val="21"/>
              </w:rPr>
            </w:pPr>
            <w:r>
              <w:rPr>
                <w:rFonts w:ascii="仿宋" w:hAnsi="仿宋" w:eastAsia="仿宋" w:cs="仿宋"/>
                <w:sz w:val="21"/>
                <w:szCs w:val="21"/>
              </w:rPr>
              <w:t>完成电代煤安全检查并形</w:t>
            </w:r>
            <w:r>
              <w:rPr>
                <w:rFonts w:ascii="仿宋" w:hAnsi="仿宋" w:eastAsia="仿宋" w:cs="仿宋"/>
                <w:spacing w:val="-77"/>
                <w:sz w:val="21"/>
                <w:szCs w:val="21"/>
              </w:rPr>
              <w:t xml:space="preserve"> </w:t>
            </w:r>
            <w:r>
              <w:rPr>
                <w:rFonts w:ascii="仿宋" w:hAnsi="仿宋" w:eastAsia="仿宋" w:cs="仿宋"/>
                <w:spacing w:val="1"/>
                <w:sz w:val="21"/>
                <w:szCs w:val="21"/>
              </w:rPr>
              <w:t>成检查报告的满分，否则</w:t>
            </w:r>
            <w:r>
              <w:rPr>
                <w:rFonts w:ascii="仿宋" w:hAnsi="仿宋" w:eastAsia="仿宋" w:cs="仿宋"/>
                <w:spacing w:val="-81"/>
                <w:sz w:val="21"/>
                <w:szCs w:val="21"/>
              </w:rPr>
              <w:t xml:space="preserve"> </w:t>
            </w:r>
            <w:r>
              <w:rPr>
                <w:rFonts w:ascii="仿宋" w:hAnsi="仿宋" w:eastAsia="仿宋" w:cs="仿宋"/>
                <w:spacing w:val="-2"/>
                <w:sz w:val="21"/>
                <w:szCs w:val="21"/>
              </w:rPr>
              <w:t>不得分</w:t>
            </w:r>
          </w:p>
        </w:tc>
        <w:tc>
          <w:tcPr>
            <w:tcW w:w="1909" w:type="dxa"/>
            <w:vAlign w:val="top"/>
          </w:tcPr>
          <w:p>
            <w:pPr>
              <w:spacing w:before="29" w:line="222" w:lineRule="auto"/>
              <w:ind w:left="13" w:right="8" w:hanging="1"/>
              <w:jc w:val="left"/>
              <w:rPr>
                <w:rFonts w:ascii="仿宋" w:hAnsi="仿宋" w:eastAsia="仿宋" w:cs="仿宋"/>
                <w:sz w:val="21"/>
                <w:szCs w:val="21"/>
              </w:rPr>
            </w:pPr>
            <w:r>
              <w:rPr>
                <w:rFonts w:ascii="仿宋" w:hAnsi="仿宋" w:eastAsia="仿宋" w:cs="仿宋"/>
                <w:spacing w:val="2"/>
                <w:sz w:val="21"/>
                <w:szCs w:val="21"/>
              </w:rPr>
              <w:t>该指标主要考核对</w:t>
            </w:r>
            <w:r>
              <w:rPr>
                <w:rFonts w:ascii="仿宋" w:hAnsi="仿宋" w:eastAsia="仿宋" w:cs="仿宋"/>
                <w:spacing w:val="-81"/>
                <w:sz w:val="21"/>
                <w:szCs w:val="21"/>
              </w:rPr>
              <w:t xml:space="preserve"> </w:t>
            </w:r>
            <w:r>
              <w:rPr>
                <w:rFonts w:ascii="仿宋" w:hAnsi="仿宋" w:eastAsia="仿宋" w:cs="仿宋"/>
                <w:spacing w:val="2"/>
                <w:sz w:val="21"/>
                <w:szCs w:val="21"/>
              </w:rPr>
              <w:t>电代煤工程安全检</w:t>
            </w:r>
            <w:r>
              <w:rPr>
                <w:rFonts w:ascii="仿宋" w:hAnsi="仿宋" w:eastAsia="仿宋" w:cs="仿宋"/>
                <w:spacing w:val="-83"/>
                <w:sz w:val="21"/>
                <w:szCs w:val="21"/>
              </w:rPr>
              <w:t xml:space="preserve"> </w:t>
            </w:r>
            <w:r>
              <w:rPr>
                <w:rFonts w:ascii="仿宋" w:hAnsi="仿宋" w:eastAsia="仿宋" w:cs="仿宋"/>
                <w:spacing w:val="-2"/>
                <w:sz w:val="21"/>
                <w:szCs w:val="21"/>
              </w:rPr>
              <w:t>查的成果</w:t>
            </w:r>
          </w:p>
        </w:tc>
        <w:tc>
          <w:tcPr>
            <w:tcW w:w="469" w:type="dxa"/>
            <w:vAlign w:val="top"/>
          </w:tcPr>
          <w:p>
            <w:pPr>
              <w:spacing w:line="240" w:lineRule="auto"/>
              <w:jc w:val="left"/>
              <w:rPr>
                <w:rFonts w:ascii="Arial" w:hAnsi="Arial" w:eastAsia="Arial" w:cs="Arial"/>
                <w:sz w:val="21"/>
                <w:szCs w:val="21"/>
              </w:rPr>
            </w:pPr>
          </w:p>
          <w:p>
            <w:pPr>
              <w:spacing w:before="86" w:line="204" w:lineRule="auto"/>
              <w:ind w:firstLine="282"/>
              <w:jc w:val="left"/>
              <w:rPr>
                <w:rFonts w:ascii="仿宋" w:hAnsi="仿宋" w:eastAsia="仿宋" w:cs="仿宋"/>
                <w:sz w:val="21"/>
                <w:szCs w:val="21"/>
              </w:rPr>
            </w:pPr>
            <w:r>
              <w:rPr>
                <w:rFonts w:ascii="仿宋" w:hAnsi="仿宋" w:eastAsia="仿宋" w:cs="仿宋"/>
                <w:spacing w:val="-19"/>
                <w:w w:val="93"/>
                <w:sz w:val="21"/>
                <w:szCs w:val="21"/>
              </w:rPr>
              <w:t>≥</w:t>
            </w:r>
          </w:p>
        </w:tc>
        <w:tc>
          <w:tcPr>
            <w:tcW w:w="661" w:type="dxa"/>
            <w:vAlign w:val="top"/>
          </w:tcPr>
          <w:p>
            <w:pPr>
              <w:spacing w:line="240" w:lineRule="auto"/>
              <w:jc w:val="left"/>
              <w:rPr>
                <w:rFonts w:ascii="Arial" w:hAnsi="Arial" w:eastAsia="Arial" w:cs="Arial"/>
                <w:sz w:val="21"/>
                <w:szCs w:val="21"/>
              </w:rPr>
            </w:pPr>
          </w:p>
          <w:p>
            <w:pPr>
              <w:spacing w:before="97" w:line="204" w:lineRule="auto"/>
              <w:ind w:firstLine="296"/>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488" w:type="dxa"/>
            <w:vAlign w:val="top"/>
          </w:tcPr>
          <w:p>
            <w:pPr>
              <w:spacing w:before="302" w:line="204" w:lineRule="auto"/>
              <w:ind w:firstLine="138"/>
              <w:jc w:val="left"/>
              <w:rPr>
                <w:rFonts w:ascii="仿宋" w:hAnsi="仿宋" w:eastAsia="仿宋" w:cs="仿宋"/>
                <w:sz w:val="21"/>
                <w:szCs w:val="21"/>
              </w:rPr>
            </w:pPr>
            <w:r>
              <w:rPr>
                <w:rFonts w:ascii="仿宋" w:hAnsi="仿宋" w:eastAsia="仿宋" w:cs="仿宋"/>
                <w:sz w:val="21"/>
                <w:szCs w:val="21"/>
              </w:rPr>
              <w:t>份</w:t>
            </w:r>
          </w:p>
        </w:tc>
        <w:tc>
          <w:tcPr>
            <w:tcW w:w="968" w:type="dxa"/>
            <w:vAlign w:val="top"/>
          </w:tcPr>
          <w:p>
            <w:pPr>
              <w:spacing w:before="29" w:line="222" w:lineRule="auto"/>
              <w:ind w:left="12" w:right="7" w:firstLine="25"/>
              <w:jc w:val="left"/>
              <w:rPr>
                <w:rFonts w:ascii="仿宋" w:hAnsi="仿宋" w:eastAsia="仿宋" w:cs="仿宋"/>
                <w:sz w:val="21"/>
                <w:szCs w:val="21"/>
              </w:rPr>
            </w:pPr>
            <w:r>
              <w:rPr>
                <w:rFonts w:ascii="仿宋" w:hAnsi="仿宋" w:eastAsia="仿宋" w:cs="仿宋"/>
                <w:spacing w:val="-14"/>
                <w:sz w:val="21"/>
                <w:szCs w:val="21"/>
              </w:rPr>
              <w:t>电</w:t>
            </w:r>
            <w:r>
              <w:rPr>
                <w:rFonts w:ascii="仿宋" w:hAnsi="仿宋" w:eastAsia="仿宋" w:cs="仿宋"/>
                <w:spacing w:val="-62"/>
                <w:sz w:val="21"/>
                <w:szCs w:val="21"/>
              </w:rPr>
              <w:t xml:space="preserve"> </w:t>
            </w:r>
            <w:r>
              <w:rPr>
                <w:rFonts w:ascii="仿宋" w:hAnsi="仿宋" w:eastAsia="仿宋" w:cs="仿宋"/>
                <w:spacing w:val="-14"/>
                <w:sz w:val="21"/>
                <w:szCs w:val="21"/>
              </w:rPr>
              <w:t>代</w:t>
            </w:r>
            <w:r>
              <w:rPr>
                <w:rFonts w:ascii="仿宋" w:hAnsi="仿宋" w:eastAsia="仿宋" w:cs="仿宋"/>
                <w:spacing w:val="-65"/>
                <w:sz w:val="21"/>
                <w:szCs w:val="21"/>
              </w:rPr>
              <w:t xml:space="preserve"> </w:t>
            </w:r>
            <w:r>
              <w:rPr>
                <w:rFonts w:ascii="仿宋" w:hAnsi="仿宋" w:eastAsia="仿宋" w:cs="仿宋"/>
                <w:spacing w:val="-14"/>
                <w:sz w:val="21"/>
                <w:szCs w:val="21"/>
              </w:rPr>
              <w:t>煤</w:t>
            </w:r>
            <w:r>
              <w:rPr>
                <w:rFonts w:ascii="仿宋" w:hAnsi="仿宋" w:eastAsia="仿宋" w:cs="仿宋"/>
                <w:spacing w:val="-58"/>
                <w:sz w:val="21"/>
                <w:szCs w:val="21"/>
              </w:rPr>
              <w:t xml:space="preserve"> </w:t>
            </w:r>
            <w:r>
              <w:rPr>
                <w:rFonts w:ascii="仿宋" w:hAnsi="仿宋" w:eastAsia="仿宋" w:cs="仿宋"/>
                <w:spacing w:val="-14"/>
                <w:sz w:val="21"/>
                <w:szCs w:val="21"/>
              </w:rPr>
              <w:t>安</w:t>
            </w:r>
            <w:r>
              <w:rPr>
                <w:rFonts w:ascii="仿宋" w:hAnsi="仿宋" w:eastAsia="仿宋" w:cs="仿宋"/>
                <w:spacing w:val="-85"/>
                <w:sz w:val="21"/>
                <w:szCs w:val="21"/>
              </w:rPr>
              <w:t xml:space="preserve"> </w:t>
            </w:r>
            <w:r>
              <w:rPr>
                <w:rFonts w:ascii="仿宋" w:hAnsi="仿宋" w:eastAsia="仿宋" w:cs="仿宋"/>
                <w:spacing w:val="-8"/>
                <w:sz w:val="21"/>
                <w:szCs w:val="21"/>
              </w:rPr>
              <w:t>全</w:t>
            </w:r>
            <w:r>
              <w:rPr>
                <w:rFonts w:ascii="仿宋" w:hAnsi="仿宋" w:eastAsia="仿宋" w:cs="仿宋"/>
                <w:spacing w:val="-66"/>
                <w:sz w:val="21"/>
                <w:szCs w:val="21"/>
              </w:rPr>
              <w:t xml:space="preserve"> </w:t>
            </w:r>
            <w:r>
              <w:rPr>
                <w:rFonts w:ascii="仿宋" w:hAnsi="仿宋" w:eastAsia="仿宋" w:cs="仿宋"/>
                <w:spacing w:val="-8"/>
                <w:sz w:val="21"/>
                <w:szCs w:val="21"/>
              </w:rPr>
              <w:t>检</w:t>
            </w:r>
            <w:r>
              <w:rPr>
                <w:rFonts w:ascii="仿宋" w:hAnsi="仿宋" w:eastAsia="仿宋" w:cs="仿宋"/>
                <w:spacing w:val="-61"/>
                <w:sz w:val="21"/>
                <w:szCs w:val="21"/>
              </w:rPr>
              <w:t xml:space="preserve"> </w:t>
            </w:r>
            <w:r>
              <w:rPr>
                <w:rFonts w:ascii="仿宋" w:hAnsi="仿宋" w:eastAsia="仿宋" w:cs="仿宋"/>
                <w:spacing w:val="-8"/>
                <w:sz w:val="21"/>
                <w:szCs w:val="21"/>
              </w:rPr>
              <w:t>查</w:t>
            </w:r>
            <w:r>
              <w:rPr>
                <w:rFonts w:ascii="仿宋" w:hAnsi="仿宋" w:eastAsia="仿宋" w:cs="仿宋"/>
                <w:spacing w:val="-57"/>
                <w:sz w:val="21"/>
                <w:szCs w:val="21"/>
              </w:rPr>
              <w:t xml:space="preserve"> </w:t>
            </w:r>
            <w:r>
              <w:rPr>
                <w:rFonts w:ascii="仿宋" w:hAnsi="仿宋" w:eastAsia="仿宋" w:cs="仿宋"/>
                <w:spacing w:val="-8"/>
                <w:sz w:val="21"/>
                <w:szCs w:val="21"/>
              </w:rPr>
              <w:t>报</w:t>
            </w:r>
            <w:r>
              <w:rPr>
                <w:rFonts w:ascii="仿宋" w:hAnsi="仿宋" w:eastAsia="仿宋" w:cs="仿宋"/>
                <w:spacing w:val="-85"/>
                <w:sz w:val="21"/>
                <w:szCs w:val="21"/>
              </w:rPr>
              <w:t xml:space="preserve"> </w:t>
            </w:r>
            <w:r>
              <w:rPr>
                <w:rFonts w:ascii="仿宋" w:hAnsi="仿宋" w:eastAsia="仿宋" w:cs="仿宋"/>
                <w:sz w:val="21"/>
                <w:szCs w:val="21"/>
              </w:rPr>
              <w:t>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91"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restart"/>
            <w:tcBorders>
              <w:bottom w:val="nil"/>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25" w:line="204" w:lineRule="auto"/>
              <w:ind w:firstLine="135"/>
              <w:jc w:val="left"/>
              <w:rPr>
                <w:rFonts w:ascii="仿宋" w:hAnsi="仿宋" w:eastAsia="仿宋" w:cs="仿宋"/>
                <w:sz w:val="21"/>
                <w:szCs w:val="21"/>
              </w:rPr>
            </w:pPr>
            <w:r>
              <w:rPr>
                <w:rFonts w:ascii="仿宋" w:hAnsi="仿宋" w:eastAsia="仿宋" w:cs="仿宋"/>
                <w:spacing w:val="-2"/>
                <w:sz w:val="21"/>
                <w:szCs w:val="21"/>
              </w:rPr>
              <w:t>质量</w:t>
            </w:r>
          </w:p>
        </w:tc>
        <w:tc>
          <w:tcPr>
            <w:tcW w:w="1129" w:type="dxa"/>
            <w:vAlign w:val="top"/>
          </w:tcPr>
          <w:p>
            <w:pPr>
              <w:spacing w:before="305" w:line="238" w:lineRule="auto"/>
              <w:ind w:left="23" w:right="6"/>
              <w:jc w:val="left"/>
              <w:rPr>
                <w:rFonts w:ascii="仿宋" w:hAnsi="仿宋" w:eastAsia="仿宋" w:cs="仿宋"/>
                <w:sz w:val="21"/>
                <w:szCs w:val="21"/>
              </w:rPr>
            </w:pPr>
            <w:r>
              <w:rPr>
                <w:rFonts w:ascii="仿宋" w:hAnsi="仿宋" w:eastAsia="仿宋" w:cs="仿宋"/>
                <w:spacing w:val="8"/>
                <w:sz w:val="21"/>
                <w:szCs w:val="21"/>
              </w:rPr>
              <w:t>救灾物资购</w:t>
            </w:r>
            <w:r>
              <w:rPr>
                <w:rFonts w:ascii="仿宋" w:hAnsi="仿宋" w:eastAsia="仿宋" w:cs="仿宋"/>
                <w:spacing w:val="-85"/>
                <w:sz w:val="21"/>
                <w:szCs w:val="21"/>
              </w:rPr>
              <w:t xml:space="preserve"> </w:t>
            </w:r>
            <w:r>
              <w:rPr>
                <w:rFonts w:ascii="仿宋" w:hAnsi="仿宋" w:eastAsia="仿宋" w:cs="仿宋"/>
                <w:spacing w:val="-3"/>
                <w:sz w:val="21"/>
                <w:szCs w:val="21"/>
              </w:rPr>
              <w:t>置完成率</w:t>
            </w:r>
          </w:p>
        </w:tc>
        <w:tc>
          <w:tcPr>
            <w:tcW w:w="2181" w:type="dxa"/>
            <w:vAlign w:val="top"/>
          </w:tcPr>
          <w:p>
            <w:pPr>
              <w:spacing w:line="240" w:lineRule="auto"/>
              <w:jc w:val="left"/>
              <w:rPr>
                <w:rFonts w:ascii="Arial" w:hAnsi="Arial" w:eastAsia="Arial" w:cs="Arial"/>
                <w:sz w:val="21"/>
                <w:szCs w:val="21"/>
              </w:rPr>
            </w:pPr>
          </w:p>
          <w:p>
            <w:pPr>
              <w:spacing w:before="78" w:line="247" w:lineRule="auto"/>
              <w:ind w:left="31" w:right="6" w:hanging="16"/>
              <w:jc w:val="left"/>
              <w:rPr>
                <w:rFonts w:ascii="Times New Roman" w:hAnsi="Times New Roman" w:eastAsia="Times New Roman" w:cs="Times New Roman"/>
                <w:sz w:val="21"/>
                <w:szCs w:val="21"/>
              </w:rPr>
            </w:pPr>
            <w:r>
              <w:rPr>
                <w:rFonts w:ascii="仿宋" w:hAnsi="仿宋" w:eastAsia="仿宋" w:cs="仿宋"/>
                <w:spacing w:val="1"/>
                <w:sz w:val="21"/>
                <w:szCs w:val="21"/>
              </w:rPr>
              <w:t>每降低</w:t>
            </w:r>
            <w:r>
              <w:rPr>
                <w:rFonts w:ascii="仿宋" w:hAnsi="仿宋" w:eastAsia="仿宋" w:cs="仿宋"/>
                <w:spacing w:val="23"/>
                <w:sz w:val="21"/>
                <w:szCs w:val="21"/>
              </w:rPr>
              <w:t xml:space="preserve"> </w:t>
            </w:r>
            <w:r>
              <w:rPr>
                <w:rFonts w:ascii="Times New Roman" w:hAnsi="Times New Roman" w:eastAsia="Times New Roman" w:cs="Times New Roman"/>
                <w:spacing w:val="1"/>
                <w:sz w:val="21"/>
                <w:szCs w:val="21"/>
              </w:rPr>
              <w:t>5%</w:t>
            </w:r>
            <w:r>
              <w:rPr>
                <w:rFonts w:ascii="仿宋" w:hAnsi="仿宋" w:eastAsia="仿宋" w:cs="仿宋"/>
                <w:spacing w:val="1"/>
                <w:sz w:val="21"/>
                <w:szCs w:val="21"/>
              </w:rPr>
              <w:t>，</w:t>
            </w:r>
            <w:r>
              <w:rPr>
                <w:rFonts w:ascii="仿宋" w:hAnsi="仿宋" w:eastAsia="仿宋" w:cs="仿宋"/>
                <w:spacing w:val="-84"/>
                <w:sz w:val="21"/>
                <w:szCs w:val="21"/>
              </w:rPr>
              <w:t xml:space="preserve"> </w:t>
            </w:r>
            <w:r>
              <w:rPr>
                <w:rFonts w:ascii="仿宋" w:hAnsi="仿宋" w:eastAsia="仿宋" w:cs="仿宋"/>
                <w:spacing w:val="1"/>
                <w:sz w:val="21"/>
                <w:szCs w:val="21"/>
              </w:rPr>
              <w:t>扣权重分的</w:t>
            </w:r>
            <w:r>
              <w:rPr>
                <w:rFonts w:ascii="仿宋" w:hAnsi="仿宋" w:eastAsia="仿宋" w:cs="仿宋"/>
                <w:spacing w:val="-85"/>
                <w:sz w:val="21"/>
                <w:szCs w:val="21"/>
              </w:rPr>
              <w:t xml:space="preserve"> </w:t>
            </w:r>
            <w:r>
              <w:rPr>
                <w:rFonts w:ascii="Times New Roman" w:hAnsi="Times New Roman" w:eastAsia="Times New Roman" w:cs="Times New Roman"/>
                <w:spacing w:val="-5"/>
                <w:sz w:val="21"/>
                <w:szCs w:val="21"/>
              </w:rPr>
              <w:t>10%</w:t>
            </w:r>
          </w:p>
        </w:tc>
        <w:tc>
          <w:tcPr>
            <w:tcW w:w="1909" w:type="dxa"/>
            <w:vAlign w:val="top"/>
          </w:tcPr>
          <w:p>
            <w:pPr>
              <w:spacing w:before="32" w:line="226" w:lineRule="auto"/>
              <w:ind w:left="19" w:right="4" w:firstLine="1"/>
              <w:jc w:val="left"/>
              <w:rPr>
                <w:rFonts w:ascii="仿宋" w:hAnsi="仿宋" w:eastAsia="仿宋" w:cs="仿宋"/>
                <w:sz w:val="21"/>
                <w:szCs w:val="21"/>
              </w:rPr>
            </w:pPr>
            <w:r>
              <w:rPr>
                <w:rFonts w:ascii="仿宋" w:hAnsi="仿宋" w:eastAsia="仿宋" w:cs="仿宋"/>
                <w:spacing w:val="1"/>
                <w:sz w:val="21"/>
                <w:szCs w:val="21"/>
              </w:rPr>
              <w:t>救灾物资购置完成</w:t>
            </w:r>
            <w:r>
              <w:rPr>
                <w:rFonts w:ascii="仿宋" w:hAnsi="仿宋" w:eastAsia="仿宋" w:cs="仿宋"/>
                <w:spacing w:val="-78"/>
                <w:sz w:val="21"/>
                <w:szCs w:val="21"/>
              </w:rPr>
              <w:t xml:space="preserve"> </w:t>
            </w:r>
            <w:r>
              <w:rPr>
                <w:rFonts w:ascii="仿宋" w:hAnsi="仿宋" w:eastAsia="仿宋" w:cs="仿宋"/>
                <w:spacing w:val="9"/>
                <w:sz w:val="21"/>
                <w:szCs w:val="21"/>
              </w:rPr>
              <w:t>率</w:t>
            </w:r>
            <w:r>
              <w:rPr>
                <w:rFonts w:ascii="Times New Roman" w:hAnsi="Times New Roman" w:eastAsia="Times New Roman" w:cs="Times New Roman"/>
                <w:spacing w:val="9"/>
                <w:sz w:val="21"/>
                <w:szCs w:val="21"/>
              </w:rPr>
              <w:t>=</w:t>
            </w:r>
            <w:r>
              <w:rPr>
                <w:rFonts w:ascii="Times New Roman" w:hAnsi="Times New Roman" w:eastAsia="Times New Roman" w:cs="Times New Roman"/>
                <w:spacing w:val="-19"/>
                <w:sz w:val="21"/>
                <w:szCs w:val="21"/>
              </w:rPr>
              <w:t xml:space="preserve"> </w:t>
            </w:r>
            <w:r>
              <w:rPr>
                <w:rFonts w:ascii="仿宋" w:hAnsi="仿宋" w:eastAsia="仿宋" w:cs="仿宋"/>
                <w:spacing w:val="9"/>
                <w:sz w:val="21"/>
                <w:szCs w:val="21"/>
              </w:rPr>
              <w:t>年度内完成救</w:t>
            </w:r>
            <w:r>
              <w:rPr>
                <w:rFonts w:ascii="仿宋" w:hAnsi="仿宋" w:eastAsia="仿宋" w:cs="仿宋"/>
                <w:spacing w:val="-82"/>
                <w:sz w:val="21"/>
                <w:szCs w:val="21"/>
              </w:rPr>
              <w:t xml:space="preserve"> </w:t>
            </w:r>
            <w:r>
              <w:rPr>
                <w:rFonts w:ascii="仿宋" w:hAnsi="仿宋" w:eastAsia="仿宋" w:cs="仿宋"/>
                <w:spacing w:val="6"/>
                <w:w w:val="106"/>
                <w:sz w:val="21"/>
                <w:szCs w:val="21"/>
              </w:rPr>
              <w:t>灾物资购置数量</w:t>
            </w:r>
            <w:r>
              <w:rPr>
                <w:rFonts w:ascii="仿宋" w:hAnsi="仿宋" w:eastAsia="仿宋" w:cs="仿宋"/>
                <w:spacing w:val="-76"/>
                <w:sz w:val="21"/>
                <w:szCs w:val="21"/>
              </w:rPr>
              <w:t xml:space="preserve"> </w:t>
            </w:r>
            <w:r>
              <w:rPr>
                <w:rFonts w:ascii="Times New Roman" w:hAnsi="Times New Roman" w:eastAsia="Times New Roman" w:cs="Times New Roman"/>
                <w:spacing w:val="6"/>
                <w:w w:val="106"/>
                <w:sz w:val="21"/>
                <w:szCs w:val="21"/>
              </w:rPr>
              <w:t>/</w:t>
            </w:r>
            <w:r>
              <w:rPr>
                <w:rFonts w:ascii="Times New Roman" w:hAnsi="Times New Roman" w:eastAsia="Times New Roman" w:cs="Times New Roman"/>
                <w:spacing w:val="-33"/>
                <w:sz w:val="21"/>
                <w:szCs w:val="21"/>
              </w:rPr>
              <w:t xml:space="preserve"> </w:t>
            </w:r>
            <w:r>
              <w:rPr>
                <w:rFonts w:ascii="仿宋" w:hAnsi="仿宋" w:eastAsia="仿宋" w:cs="仿宋"/>
                <w:spacing w:val="-2"/>
                <w:sz w:val="21"/>
                <w:szCs w:val="21"/>
              </w:rPr>
              <w:t>工作要求完成数量</w:t>
            </w:r>
          </w:p>
        </w:tc>
        <w:tc>
          <w:tcPr>
            <w:tcW w:w="469" w:type="dxa"/>
            <w:vAlign w:val="top"/>
          </w:tcPr>
          <w:p>
            <w:pPr>
              <w:spacing w:line="240" w:lineRule="auto"/>
              <w:jc w:val="left"/>
              <w:rPr>
                <w:rFonts w:ascii="Arial" w:hAnsi="Arial" w:eastAsia="Arial" w:cs="Arial"/>
                <w:sz w:val="21"/>
                <w:szCs w:val="21"/>
              </w:rPr>
            </w:pPr>
          </w:p>
          <w:p>
            <w:pPr>
              <w:spacing w:before="225" w:line="204" w:lineRule="auto"/>
              <w:ind w:firstLine="176"/>
              <w:jc w:val="left"/>
              <w:rPr>
                <w:rFonts w:ascii="仿宋" w:hAnsi="仿宋" w:eastAsia="仿宋" w:cs="仿宋"/>
                <w:sz w:val="21"/>
                <w:szCs w:val="21"/>
              </w:rPr>
            </w:pPr>
            <w:r>
              <w:rPr>
                <w:rFonts w:ascii="仿宋" w:hAnsi="仿宋" w:eastAsia="仿宋" w:cs="仿宋"/>
                <w:sz w:val="21"/>
                <w:szCs w:val="21"/>
              </w:rPr>
              <w:t>≥</w:t>
            </w:r>
          </w:p>
        </w:tc>
        <w:tc>
          <w:tcPr>
            <w:tcW w:w="661" w:type="dxa"/>
            <w:vAlign w:val="top"/>
          </w:tcPr>
          <w:p>
            <w:pPr>
              <w:spacing w:line="240" w:lineRule="auto"/>
              <w:jc w:val="left"/>
              <w:rPr>
                <w:rFonts w:ascii="Arial" w:hAnsi="Arial" w:eastAsia="Arial" w:cs="Arial"/>
                <w:sz w:val="21"/>
                <w:szCs w:val="21"/>
              </w:rPr>
            </w:pPr>
          </w:p>
          <w:p>
            <w:pPr>
              <w:spacing w:before="236" w:line="204" w:lineRule="auto"/>
              <w:ind w:firstLine="227"/>
              <w:jc w:val="left"/>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90</w:t>
            </w:r>
          </w:p>
        </w:tc>
        <w:tc>
          <w:tcPr>
            <w:tcW w:w="488" w:type="dxa"/>
            <w:vAlign w:val="top"/>
          </w:tcPr>
          <w:p>
            <w:pPr>
              <w:spacing w:line="240" w:lineRule="auto"/>
              <w:jc w:val="left"/>
              <w:rPr>
                <w:rFonts w:ascii="Arial" w:hAnsi="Arial" w:eastAsia="Arial" w:cs="Arial"/>
                <w:sz w:val="21"/>
                <w:szCs w:val="21"/>
              </w:rPr>
            </w:pPr>
          </w:p>
          <w:p>
            <w:pPr>
              <w:spacing w:before="236" w:line="204" w:lineRule="auto"/>
              <w:ind w:firstLine="158"/>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w:t>
            </w:r>
          </w:p>
        </w:tc>
        <w:tc>
          <w:tcPr>
            <w:tcW w:w="968" w:type="dxa"/>
            <w:vAlign w:val="top"/>
          </w:tcPr>
          <w:p>
            <w:pPr>
              <w:spacing w:before="305" w:line="238" w:lineRule="auto"/>
              <w:ind w:left="16" w:right="7" w:firstLine="3"/>
              <w:jc w:val="left"/>
              <w:rPr>
                <w:rFonts w:ascii="仿宋" w:hAnsi="仿宋" w:eastAsia="仿宋" w:cs="仿宋"/>
                <w:sz w:val="21"/>
                <w:szCs w:val="21"/>
              </w:rPr>
            </w:pPr>
            <w:r>
              <w:rPr>
                <w:rFonts w:ascii="仿宋" w:hAnsi="仿宋" w:eastAsia="仿宋" w:cs="仿宋"/>
                <w:spacing w:val="-17"/>
                <w:sz w:val="21"/>
                <w:szCs w:val="21"/>
              </w:rPr>
              <w:t>救</w:t>
            </w:r>
            <w:r>
              <w:rPr>
                <w:rFonts w:ascii="仿宋" w:hAnsi="仿宋" w:eastAsia="仿宋" w:cs="仿宋"/>
                <w:spacing w:val="-46"/>
                <w:sz w:val="21"/>
                <w:szCs w:val="21"/>
              </w:rPr>
              <w:t xml:space="preserve"> </w:t>
            </w:r>
            <w:r>
              <w:rPr>
                <w:rFonts w:ascii="仿宋" w:hAnsi="仿宋" w:eastAsia="仿宋" w:cs="仿宋"/>
                <w:spacing w:val="-17"/>
                <w:sz w:val="21"/>
                <w:szCs w:val="21"/>
              </w:rPr>
              <w:t>灾</w:t>
            </w:r>
            <w:r>
              <w:rPr>
                <w:rFonts w:ascii="仿宋" w:hAnsi="仿宋" w:eastAsia="仿宋" w:cs="仿宋"/>
                <w:spacing w:val="-55"/>
                <w:sz w:val="21"/>
                <w:szCs w:val="21"/>
              </w:rPr>
              <w:t xml:space="preserve"> </w:t>
            </w:r>
            <w:r>
              <w:rPr>
                <w:rFonts w:ascii="仿宋" w:hAnsi="仿宋" w:eastAsia="仿宋" w:cs="仿宋"/>
                <w:spacing w:val="-17"/>
                <w:sz w:val="21"/>
                <w:szCs w:val="21"/>
              </w:rPr>
              <w:t>物</w:t>
            </w:r>
            <w:r>
              <w:rPr>
                <w:rFonts w:ascii="仿宋" w:hAnsi="仿宋" w:eastAsia="仿宋" w:cs="仿宋"/>
                <w:spacing w:val="-54"/>
                <w:sz w:val="21"/>
                <w:szCs w:val="21"/>
              </w:rPr>
              <w:t xml:space="preserve"> </w:t>
            </w:r>
            <w:r>
              <w:rPr>
                <w:rFonts w:ascii="仿宋" w:hAnsi="仿宋" w:eastAsia="仿宋" w:cs="仿宋"/>
                <w:spacing w:val="-17"/>
                <w:sz w:val="21"/>
                <w:szCs w:val="21"/>
              </w:rPr>
              <w:t>资</w:t>
            </w:r>
            <w:r>
              <w:rPr>
                <w:rFonts w:ascii="仿宋" w:hAnsi="仿宋" w:eastAsia="仿宋" w:cs="仿宋"/>
                <w:spacing w:val="-85"/>
                <w:sz w:val="21"/>
                <w:szCs w:val="21"/>
              </w:rPr>
              <w:t xml:space="preserve"> </w:t>
            </w:r>
            <w:r>
              <w:rPr>
                <w:rFonts w:ascii="仿宋" w:hAnsi="仿宋" w:eastAsia="仿宋" w:cs="仿宋"/>
                <w:spacing w:val="-3"/>
                <w:sz w:val="21"/>
                <w:szCs w:val="21"/>
              </w:rPr>
              <w:t>购置凭证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92"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bottom w:val="nil"/>
            </w:tcBorders>
            <w:vAlign w:val="top"/>
          </w:tcPr>
          <w:p>
            <w:pPr>
              <w:spacing w:line="240" w:lineRule="auto"/>
              <w:jc w:val="left"/>
              <w:rPr>
                <w:rFonts w:ascii="Arial" w:hAnsi="Arial" w:eastAsia="Arial" w:cs="Arial"/>
                <w:sz w:val="21"/>
                <w:szCs w:val="21"/>
              </w:rPr>
            </w:pPr>
          </w:p>
        </w:tc>
        <w:tc>
          <w:tcPr>
            <w:tcW w:w="1129" w:type="dxa"/>
            <w:tcBorders>
              <w:bottom w:val="single" w:color="000000" w:sz="4" w:space="0"/>
            </w:tcBorders>
            <w:vAlign w:val="top"/>
          </w:tcPr>
          <w:p>
            <w:pPr>
              <w:spacing w:before="169" w:line="239" w:lineRule="auto"/>
              <w:ind w:left="16" w:right="6" w:firstLine="5"/>
              <w:jc w:val="left"/>
              <w:rPr>
                <w:rFonts w:ascii="仿宋" w:hAnsi="仿宋" w:eastAsia="仿宋" w:cs="仿宋"/>
                <w:sz w:val="21"/>
                <w:szCs w:val="21"/>
              </w:rPr>
            </w:pPr>
            <w:r>
              <w:rPr>
                <w:rFonts w:ascii="仿宋" w:hAnsi="仿宋" w:eastAsia="仿宋" w:cs="仿宋"/>
                <w:spacing w:val="8"/>
                <w:sz w:val="21"/>
                <w:szCs w:val="21"/>
              </w:rPr>
              <w:t>政府网站年</w:t>
            </w:r>
            <w:r>
              <w:rPr>
                <w:rFonts w:ascii="仿宋" w:hAnsi="仿宋" w:eastAsia="仿宋" w:cs="仿宋"/>
                <w:spacing w:val="-82"/>
                <w:sz w:val="21"/>
                <w:szCs w:val="21"/>
              </w:rPr>
              <w:t xml:space="preserve"> </w:t>
            </w:r>
            <w:r>
              <w:rPr>
                <w:rFonts w:ascii="仿宋" w:hAnsi="仿宋" w:eastAsia="仿宋" w:cs="仿宋"/>
                <w:spacing w:val="9"/>
                <w:sz w:val="21"/>
                <w:szCs w:val="21"/>
              </w:rPr>
              <w:t>度运行维护</w:t>
            </w:r>
            <w:r>
              <w:rPr>
                <w:rFonts w:ascii="仿宋" w:hAnsi="仿宋" w:eastAsia="仿宋" w:cs="仿宋"/>
                <w:spacing w:val="-82"/>
                <w:sz w:val="21"/>
                <w:szCs w:val="21"/>
              </w:rPr>
              <w:t xml:space="preserve"> </w:t>
            </w:r>
            <w:r>
              <w:rPr>
                <w:rFonts w:ascii="仿宋" w:hAnsi="仿宋" w:eastAsia="仿宋" w:cs="仿宋"/>
                <w:spacing w:val="-1"/>
                <w:sz w:val="21"/>
                <w:szCs w:val="21"/>
              </w:rPr>
              <w:t>合格率</w:t>
            </w:r>
          </w:p>
        </w:tc>
        <w:tc>
          <w:tcPr>
            <w:tcW w:w="2181" w:type="dxa"/>
            <w:tcBorders>
              <w:bottom w:val="single" w:color="000000" w:sz="4" w:space="0"/>
            </w:tcBorders>
            <w:vAlign w:val="top"/>
          </w:tcPr>
          <w:p>
            <w:pPr>
              <w:spacing w:before="32" w:line="226" w:lineRule="auto"/>
              <w:ind w:left="13" w:right="5" w:firstLine="13"/>
              <w:jc w:val="left"/>
              <w:rPr>
                <w:rFonts w:ascii="仿宋" w:hAnsi="仿宋" w:eastAsia="仿宋" w:cs="仿宋"/>
                <w:sz w:val="21"/>
                <w:szCs w:val="21"/>
              </w:rPr>
            </w:pPr>
            <w:r>
              <w:rPr>
                <w:rFonts w:ascii="仿宋" w:hAnsi="仿宋" w:eastAsia="仿宋" w:cs="仿宋"/>
                <w:spacing w:val="-11"/>
                <w:sz w:val="21"/>
                <w:szCs w:val="21"/>
              </w:rPr>
              <w:t>完成率等于</w:t>
            </w:r>
            <w:r>
              <w:rPr>
                <w:rFonts w:ascii="仿宋" w:hAnsi="仿宋" w:eastAsia="仿宋" w:cs="仿宋"/>
                <w:spacing w:val="-22"/>
                <w:sz w:val="21"/>
                <w:szCs w:val="21"/>
              </w:rPr>
              <w:t xml:space="preserve"> </w:t>
            </w:r>
            <w:r>
              <w:rPr>
                <w:rFonts w:ascii="Times New Roman" w:hAnsi="Times New Roman" w:eastAsia="Times New Roman" w:cs="Times New Roman"/>
                <w:spacing w:val="-11"/>
                <w:sz w:val="21"/>
                <w:szCs w:val="21"/>
              </w:rPr>
              <w:t>100%</w:t>
            </w:r>
            <w:r>
              <w:rPr>
                <w:rFonts w:ascii="仿宋" w:hAnsi="仿宋" w:eastAsia="仿宋" w:cs="仿宋"/>
                <w:spacing w:val="-11"/>
                <w:sz w:val="21"/>
                <w:szCs w:val="21"/>
              </w:rPr>
              <w:t>的，得满</w:t>
            </w:r>
            <w:r>
              <w:rPr>
                <w:rFonts w:ascii="仿宋" w:hAnsi="仿宋" w:eastAsia="仿宋" w:cs="仿宋"/>
                <w:spacing w:val="-85"/>
                <w:sz w:val="21"/>
                <w:szCs w:val="21"/>
              </w:rPr>
              <w:t xml:space="preserve"> </w:t>
            </w:r>
            <w:r>
              <w:rPr>
                <w:rFonts w:ascii="仿宋" w:hAnsi="仿宋" w:eastAsia="仿宋" w:cs="仿宋"/>
                <w:spacing w:val="-5"/>
                <w:sz w:val="21"/>
                <w:szCs w:val="21"/>
              </w:rPr>
              <w:t>分；合格率每减少</w:t>
            </w:r>
            <w:r>
              <w:rPr>
                <w:rFonts w:ascii="仿宋" w:hAnsi="仿宋" w:eastAsia="仿宋" w:cs="仿宋"/>
                <w:spacing w:val="-15"/>
                <w:sz w:val="21"/>
                <w:szCs w:val="21"/>
              </w:rPr>
              <w:t xml:space="preserve"> </w:t>
            </w:r>
            <w:r>
              <w:rPr>
                <w:rFonts w:ascii="Times New Roman" w:hAnsi="Times New Roman" w:eastAsia="Times New Roman" w:cs="Times New Roman"/>
                <w:spacing w:val="-5"/>
                <w:sz w:val="21"/>
                <w:szCs w:val="21"/>
              </w:rPr>
              <w:t>10%</w:t>
            </w:r>
            <w:r>
              <w:rPr>
                <w:rFonts w:ascii="Times New Roman" w:hAnsi="Times New Roman" w:eastAsia="Times New Roman" w:cs="Times New Roman"/>
                <w:spacing w:val="-24"/>
                <w:sz w:val="21"/>
                <w:szCs w:val="21"/>
              </w:rPr>
              <w:t xml:space="preserve"> </w:t>
            </w:r>
            <w:r>
              <w:rPr>
                <w:rFonts w:ascii="仿宋" w:hAnsi="仿宋" w:eastAsia="仿宋" w:cs="仿宋"/>
                <w:spacing w:val="-5"/>
                <w:sz w:val="21"/>
                <w:szCs w:val="21"/>
              </w:rPr>
              <w:t>，</w:t>
            </w:r>
            <w:r>
              <w:rPr>
                <w:rFonts w:ascii="仿宋" w:hAnsi="仿宋" w:eastAsia="仿宋" w:cs="仿宋"/>
                <w:spacing w:val="-85"/>
                <w:sz w:val="21"/>
                <w:szCs w:val="21"/>
              </w:rPr>
              <w:t xml:space="preserve"> </w:t>
            </w:r>
            <w:r>
              <w:rPr>
                <w:rFonts w:ascii="仿宋" w:hAnsi="仿宋" w:eastAsia="仿宋" w:cs="仿宋"/>
                <w:spacing w:val="-3"/>
                <w:sz w:val="21"/>
                <w:szCs w:val="21"/>
              </w:rPr>
              <w:t>扣除权重的</w:t>
            </w:r>
            <w:r>
              <w:rPr>
                <w:rFonts w:ascii="仿宋" w:hAnsi="仿宋" w:eastAsia="仿宋" w:cs="仿宋"/>
                <w:spacing w:val="-11"/>
                <w:sz w:val="21"/>
                <w:szCs w:val="21"/>
              </w:rPr>
              <w:t xml:space="preserve"> </w:t>
            </w:r>
            <w:r>
              <w:rPr>
                <w:rFonts w:ascii="Times New Roman" w:hAnsi="Times New Roman" w:eastAsia="Times New Roman" w:cs="Times New Roman"/>
                <w:spacing w:val="-3"/>
                <w:sz w:val="21"/>
                <w:szCs w:val="21"/>
              </w:rPr>
              <w:t>10%</w:t>
            </w:r>
            <w:r>
              <w:rPr>
                <w:rFonts w:ascii="仿宋" w:hAnsi="仿宋" w:eastAsia="仿宋" w:cs="仿宋"/>
                <w:spacing w:val="-3"/>
                <w:sz w:val="21"/>
                <w:szCs w:val="21"/>
              </w:rPr>
              <w:t>，合格率</w:t>
            </w:r>
            <w:r>
              <w:rPr>
                <w:rFonts w:ascii="仿宋" w:hAnsi="仿宋" w:eastAsia="仿宋" w:cs="仿宋"/>
                <w:spacing w:val="-85"/>
                <w:sz w:val="21"/>
                <w:szCs w:val="21"/>
              </w:rPr>
              <w:t xml:space="preserve"> </w:t>
            </w:r>
            <w:r>
              <w:rPr>
                <w:rFonts w:ascii="仿宋" w:hAnsi="仿宋" w:eastAsia="仿宋" w:cs="仿宋"/>
                <w:spacing w:val="5"/>
                <w:sz w:val="21"/>
                <w:szCs w:val="21"/>
              </w:rPr>
              <w:t>低于</w:t>
            </w:r>
            <w:r>
              <w:rPr>
                <w:rFonts w:ascii="Times New Roman" w:hAnsi="Times New Roman" w:eastAsia="Times New Roman" w:cs="Times New Roman"/>
                <w:spacing w:val="5"/>
                <w:sz w:val="21"/>
                <w:szCs w:val="21"/>
              </w:rPr>
              <w:t>60%</w:t>
            </w:r>
            <w:r>
              <w:rPr>
                <w:rFonts w:ascii="仿宋" w:hAnsi="仿宋" w:eastAsia="仿宋" w:cs="仿宋"/>
                <w:spacing w:val="5"/>
                <w:sz w:val="21"/>
                <w:szCs w:val="21"/>
              </w:rPr>
              <w:t>不得分。</w:t>
            </w:r>
          </w:p>
        </w:tc>
        <w:tc>
          <w:tcPr>
            <w:tcW w:w="1909" w:type="dxa"/>
            <w:tcBorders>
              <w:bottom w:val="single" w:color="000000" w:sz="4" w:space="0"/>
            </w:tcBorders>
            <w:vAlign w:val="top"/>
          </w:tcPr>
          <w:p>
            <w:pPr>
              <w:spacing w:before="169" w:line="239" w:lineRule="auto"/>
              <w:ind w:left="12" w:right="6"/>
              <w:jc w:val="left"/>
              <w:rPr>
                <w:rFonts w:ascii="仿宋" w:hAnsi="仿宋" w:eastAsia="仿宋" w:cs="仿宋"/>
                <w:sz w:val="21"/>
                <w:szCs w:val="21"/>
              </w:rPr>
            </w:pPr>
            <w:r>
              <w:rPr>
                <w:rFonts w:ascii="仿宋" w:hAnsi="仿宋" w:eastAsia="仿宋" w:cs="仿宋"/>
                <w:spacing w:val="22"/>
                <w:w w:val="105"/>
                <w:sz w:val="21"/>
                <w:szCs w:val="21"/>
              </w:rPr>
              <w:t>该指标主要考核</w:t>
            </w:r>
            <w:r>
              <w:rPr>
                <w:rFonts w:ascii="仿宋" w:hAnsi="仿宋" w:eastAsia="仿宋" w:cs="仿宋"/>
                <w:spacing w:val="-81"/>
                <w:sz w:val="21"/>
                <w:szCs w:val="21"/>
              </w:rPr>
              <w:t xml:space="preserve"> </w:t>
            </w:r>
            <w:r>
              <w:rPr>
                <w:rFonts w:ascii="仿宋" w:hAnsi="仿宋" w:eastAsia="仿宋" w:cs="仿宋"/>
                <w:spacing w:val="2"/>
                <w:sz w:val="21"/>
                <w:szCs w:val="21"/>
              </w:rPr>
              <w:t>年度运行维护是否</w:t>
            </w:r>
            <w:r>
              <w:rPr>
                <w:rFonts w:ascii="仿宋" w:hAnsi="仿宋" w:eastAsia="仿宋" w:cs="仿宋"/>
                <w:spacing w:val="-80"/>
                <w:sz w:val="21"/>
                <w:szCs w:val="21"/>
              </w:rPr>
              <w:t xml:space="preserve"> </w:t>
            </w:r>
            <w:r>
              <w:rPr>
                <w:rFonts w:ascii="仿宋" w:hAnsi="仿宋" w:eastAsia="仿宋" w:cs="仿宋"/>
                <w:spacing w:val="-1"/>
                <w:sz w:val="21"/>
                <w:szCs w:val="21"/>
              </w:rPr>
              <w:t>全部完成且合格</w:t>
            </w:r>
          </w:p>
        </w:tc>
        <w:tc>
          <w:tcPr>
            <w:tcW w:w="469" w:type="dxa"/>
            <w:tcBorders>
              <w:bottom w:val="single" w:color="000000" w:sz="4" w:space="0"/>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47" w:line="214" w:lineRule="auto"/>
              <w:ind w:firstLine="174"/>
              <w:jc w:val="left"/>
              <w:rPr>
                <w:rFonts w:ascii="Times New Roman" w:hAnsi="Times New Roman" w:eastAsia="Times New Roman" w:cs="Times New Roman"/>
                <w:sz w:val="9"/>
                <w:szCs w:val="9"/>
              </w:rPr>
            </w:pPr>
            <w:r>
              <w:rPr>
                <w:rFonts w:ascii="Times New Roman" w:hAnsi="Times New Roman" w:eastAsia="Times New Roman" w:cs="Times New Roman"/>
                <w:spacing w:val="20"/>
                <w:w w:val="187"/>
                <w:sz w:val="9"/>
                <w:szCs w:val="9"/>
              </w:rPr>
              <w:t>=</w:t>
            </w:r>
          </w:p>
        </w:tc>
        <w:tc>
          <w:tcPr>
            <w:tcW w:w="661" w:type="dxa"/>
            <w:tcBorders>
              <w:bottom w:val="single" w:color="000000" w:sz="4" w:space="0"/>
            </w:tcBorders>
            <w:vAlign w:val="top"/>
          </w:tcPr>
          <w:p>
            <w:pPr>
              <w:spacing w:line="240" w:lineRule="auto"/>
              <w:jc w:val="left"/>
              <w:rPr>
                <w:rFonts w:ascii="Arial" w:hAnsi="Arial" w:eastAsia="Arial" w:cs="Arial"/>
                <w:sz w:val="21"/>
                <w:szCs w:val="21"/>
              </w:rPr>
            </w:pPr>
          </w:p>
          <w:p>
            <w:pPr>
              <w:spacing w:before="236" w:line="204" w:lineRule="auto"/>
              <w:ind w:firstLine="190"/>
              <w:jc w:val="left"/>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100</w:t>
            </w:r>
          </w:p>
        </w:tc>
        <w:tc>
          <w:tcPr>
            <w:tcW w:w="488" w:type="dxa"/>
            <w:tcBorders>
              <w:bottom w:val="single" w:color="000000" w:sz="4" w:space="0"/>
            </w:tcBorders>
            <w:vAlign w:val="top"/>
          </w:tcPr>
          <w:p>
            <w:pPr>
              <w:spacing w:line="240" w:lineRule="auto"/>
              <w:jc w:val="left"/>
              <w:rPr>
                <w:rFonts w:ascii="Arial" w:hAnsi="Arial" w:eastAsia="Arial" w:cs="Arial"/>
                <w:sz w:val="21"/>
                <w:szCs w:val="21"/>
              </w:rPr>
            </w:pPr>
          </w:p>
          <w:p>
            <w:pPr>
              <w:spacing w:before="235" w:line="204" w:lineRule="auto"/>
              <w:ind w:firstLine="158"/>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w:t>
            </w:r>
          </w:p>
        </w:tc>
        <w:tc>
          <w:tcPr>
            <w:tcW w:w="968" w:type="dxa"/>
            <w:tcBorders>
              <w:bottom w:val="single" w:color="000000" w:sz="4" w:space="0"/>
            </w:tcBorders>
            <w:vAlign w:val="top"/>
          </w:tcPr>
          <w:p>
            <w:pPr>
              <w:spacing w:line="240" w:lineRule="auto"/>
              <w:jc w:val="left"/>
              <w:rPr>
                <w:rFonts w:ascii="Arial" w:hAnsi="Arial" w:eastAsia="Arial" w:cs="Arial"/>
                <w:sz w:val="21"/>
                <w:szCs w:val="21"/>
              </w:rPr>
            </w:pPr>
          </w:p>
          <w:p>
            <w:pPr>
              <w:spacing w:before="199" w:line="204" w:lineRule="auto"/>
              <w:ind w:firstLine="18"/>
              <w:jc w:val="left"/>
              <w:rPr>
                <w:rFonts w:ascii="仿宋" w:hAnsi="仿宋" w:eastAsia="仿宋" w:cs="仿宋"/>
                <w:sz w:val="21"/>
                <w:szCs w:val="21"/>
              </w:rPr>
            </w:pPr>
            <w:r>
              <w:rPr>
                <w:rFonts w:ascii="仿宋" w:hAnsi="仿宋" w:eastAsia="仿宋" w:cs="仿宋"/>
                <w:spacing w:val="-3"/>
                <w:sz w:val="21"/>
                <w:szCs w:val="21"/>
              </w:rPr>
              <w:t>工作总结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92"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bottom w:val="nil"/>
            </w:tcBorders>
            <w:vAlign w:val="top"/>
          </w:tcPr>
          <w:p>
            <w:pPr>
              <w:spacing w:line="240" w:lineRule="auto"/>
              <w:jc w:val="left"/>
              <w:rPr>
                <w:rFonts w:ascii="Arial" w:hAnsi="Arial" w:eastAsia="Arial" w:cs="Arial"/>
                <w:sz w:val="21"/>
                <w:szCs w:val="21"/>
              </w:rPr>
            </w:pPr>
          </w:p>
        </w:tc>
        <w:tc>
          <w:tcPr>
            <w:tcW w:w="1129" w:type="dxa"/>
            <w:tcBorders>
              <w:top w:val="single" w:color="000000" w:sz="4" w:space="0"/>
            </w:tcBorders>
            <w:vAlign w:val="top"/>
          </w:tcPr>
          <w:p>
            <w:pPr>
              <w:spacing w:before="166" w:line="239" w:lineRule="auto"/>
              <w:ind w:left="18" w:right="6" w:firstLine="12"/>
              <w:jc w:val="left"/>
              <w:rPr>
                <w:rFonts w:ascii="仿宋" w:hAnsi="仿宋" w:eastAsia="仿宋" w:cs="仿宋"/>
                <w:sz w:val="21"/>
                <w:szCs w:val="21"/>
              </w:rPr>
            </w:pPr>
            <w:r>
              <w:rPr>
                <w:rFonts w:ascii="仿宋" w:hAnsi="仿宋" w:eastAsia="仿宋" w:cs="仿宋"/>
                <w:spacing w:val="6"/>
                <w:sz w:val="21"/>
                <w:szCs w:val="21"/>
              </w:rPr>
              <w:t>奖补、下拨</w:t>
            </w:r>
            <w:r>
              <w:rPr>
                <w:rFonts w:ascii="仿宋" w:hAnsi="仿宋" w:eastAsia="仿宋" w:cs="仿宋"/>
                <w:spacing w:val="-81"/>
                <w:sz w:val="21"/>
                <w:szCs w:val="21"/>
              </w:rPr>
              <w:t xml:space="preserve"> </w:t>
            </w:r>
            <w:r>
              <w:rPr>
                <w:rFonts w:ascii="仿宋" w:hAnsi="仿宋" w:eastAsia="仿宋" w:cs="仿宋"/>
                <w:spacing w:val="9"/>
                <w:sz w:val="21"/>
                <w:szCs w:val="21"/>
              </w:rPr>
              <w:t>资金发放准</w:t>
            </w:r>
            <w:r>
              <w:rPr>
                <w:rFonts w:ascii="仿宋" w:hAnsi="仿宋" w:eastAsia="仿宋" w:cs="仿宋"/>
                <w:spacing w:val="-84"/>
                <w:sz w:val="21"/>
                <w:szCs w:val="21"/>
              </w:rPr>
              <w:t xml:space="preserve"> </w:t>
            </w:r>
            <w:r>
              <w:rPr>
                <w:rFonts w:ascii="仿宋" w:hAnsi="仿宋" w:eastAsia="仿宋" w:cs="仿宋"/>
                <w:spacing w:val="-2"/>
                <w:sz w:val="21"/>
                <w:szCs w:val="21"/>
              </w:rPr>
              <w:t>确率</w:t>
            </w:r>
          </w:p>
        </w:tc>
        <w:tc>
          <w:tcPr>
            <w:tcW w:w="2181" w:type="dxa"/>
            <w:tcBorders>
              <w:top w:val="single" w:color="000000" w:sz="4" w:space="0"/>
            </w:tcBorders>
            <w:vAlign w:val="top"/>
          </w:tcPr>
          <w:p>
            <w:pPr>
              <w:spacing w:line="240" w:lineRule="auto"/>
              <w:jc w:val="left"/>
              <w:rPr>
                <w:rFonts w:ascii="Arial" w:hAnsi="Arial" w:eastAsia="Arial" w:cs="Arial"/>
                <w:sz w:val="21"/>
                <w:szCs w:val="21"/>
              </w:rPr>
            </w:pPr>
          </w:p>
          <w:p>
            <w:pPr>
              <w:spacing w:before="77" w:line="245" w:lineRule="auto"/>
              <w:ind w:left="31" w:right="6" w:hanging="16"/>
              <w:jc w:val="left"/>
              <w:rPr>
                <w:rFonts w:ascii="Times New Roman" w:hAnsi="Times New Roman" w:eastAsia="Times New Roman" w:cs="Times New Roman"/>
                <w:sz w:val="21"/>
                <w:szCs w:val="21"/>
              </w:rPr>
            </w:pPr>
            <w:r>
              <w:rPr>
                <w:rFonts w:ascii="仿宋" w:hAnsi="仿宋" w:eastAsia="仿宋" w:cs="仿宋"/>
                <w:spacing w:val="1"/>
                <w:sz w:val="21"/>
                <w:szCs w:val="21"/>
              </w:rPr>
              <w:t>每降低</w:t>
            </w:r>
            <w:r>
              <w:rPr>
                <w:rFonts w:ascii="仿宋" w:hAnsi="仿宋" w:eastAsia="仿宋" w:cs="仿宋"/>
                <w:spacing w:val="23"/>
                <w:sz w:val="21"/>
                <w:szCs w:val="21"/>
              </w:rPr>
              <w:t xml:space="preserve"> </w:t>
            </w:r>
            <w:r>
              <w:rPr>
                <w:rFonts w:ascii="Times New Roman" w:hAnsi="Times New Roman" w:eastAsia="Times New Roman" w:cs="Times New Roman"/>
                <w:spacing w:val="1"/>
                <w:sz w:val="21"/>
                <w:szCs w:val="21"/>
              </w:rPr>
              <w:t>5%</w:t>
            </w:r>
            <w:r>
              <w:rPr>
                <w:rFonts w:ascii="仿宋" w:hAnsi="仿宋" w:eastAsia="仿宋" w:cs="仿宋"/>
                <w:spacing w:val="1"/>
                <w:sz w:val="21"/>
                <w:szCs w:val="21"/>
              </w:rPr>
              <w:t>，</w:t>
            </w:r>
            <w:r>
              <w:rPr>
                <w:rFonts w:ascii="仿宋" w:hAnsi="仿宋" w:eastAsia="仿宋" w:cs="仿宋"/>
                <w:spacing w:val="-84"/>
                <w:sz w:val="21"/>
                <w:szCs w:val="21"/>
              </w:rPr>
              <w:t xml:space="preserve"> </w:t>
            </w:r>
            <w:r>
              <w:rPr>
                <w:rFonts w:ascii="仿宋" w:hAnsi="仿宋" w:eastAsia="仿宋" w:cs="仿宋"/>
                <w:spacing w:val="1"/>
                <w:sz w:val="21"/>
                <w:szCs w:val="21"/>
              </w:rPr>
              <w:t>扣权重分的</w:t>
            </w:r>
            <w:r>
              <w:rPr>
                <w:rFonts w:ascii="仿宋" w:hAnsi="仿宋" w:eastAsia="仿宋" w:cs="仿宋"/>
                <w:spacing w:val="-85"/>
                <w:sz w:val="21"/>
                <w:szCs w:val="21"/>
              </w:rPr>
              <w:t xml:space="preserve"> </w:t>
            </w:r>
            <w:r>
              <w:rPr>
                <w:rFonts w:ascii="Times New Roman" w:hAnsi="Times New Roman" w:eastAsia="Times New Roman" w:cs="Times New Roman"/>
                <w:spacing w:val="-5"/>
                <w:sz w:val="21"/>
                <w:szCs w:val="21"/>
              </w:rPr>
              <w:t>10%</w:t>
            </w:r>
          </w:p>
        </w:tc>
        <w:tc>
          <w:tcPr>
            <w:tcW w:w="1909" w:type="dxa"/>
            <w:tcBorders>
              <w:top w:val="single" w:color="000000" w:sz="4" w:space="0"/>
            </w:tcBorders>
            <w:vAlign w:val="top"/>
          </w:tcPr>
          <w:p>
            <w:pPr>
              <w:spacing w:before="166" w:line="239" w:lineRule="auto"/>
              <w:ind w:left="16" w:right="8" w:hanging="4"/>
              <w:jc w:val="left"/>
              <w:rPr>
                <w:rFonts w:ascii="仿宋" w:hAnsi="仿宋" w:eastAsia="仿宋" w:cs="仿宋"/>
                <w:sz w:val="21"/>
                <w:szCs w:val="21"/>
              </w:rPr>
            </w:pPr>
            <w:r>
              <w:rPr>
                <w:rFonts w:ascii="仿宋" w:hAnsi="仿宋" w:eastAsia="仿宋" w:cs="仿宋"/>
                <w:spacing w:val="2"/>
                <w:sz w:val="21"/>
                <w:szCs w:val="21"/>
              </w:rPr>
              <w:t>该指标主要考核符</w:t>
            </w:r>
            <w:r>
              <w:rPr>
                <w:rFonts w:ascii="仿宋" w:hAnsi="仿宋" w:eastAsia="仿宋" w:cs="仿宋"/>
                <w:spacing w:val="-81"/>
                <w:sz w:val="21"/>
                <w:szCs w:val="21"/>
              </w:rPr>
              <w:t xml:space="preserve"> </w:t>
            </w:r>
            <w:r>
              <w:rPr>
                <w:rFonts w:ascii="仿宋" w:hAnsi="仿宋" w:eastAsia="仿宋" w:cs="仿宋"/>
                <w:spacing w:val="2"/>
                <w:sz w:val="21"/>
                <w:szCs w:val="21"/>
              </w:rPr>
              <w:t>合拨付相关县区节</w:t>
            </w:r>
            <w:r>
              <w:rPr>
                <w:rFonts w:ascii="仿宋" w:hAnsi="仿宋" w:eastAsia="仿宋" w:cs="仿宋"/>
                <w:spacing w:val="-85"/>
                <w:sz w:val="21"/>
                <w:szCs w:val="21"/>
              </w:rPr>
              <w:t xml:space="preserve"> </w:t>
            </w:r>
            <w:r>
              <w:rPr>
                <w:rFonts w:ascii="仿宋" w:hAnsi="仿宋" w:eastAsia="仿宋" w:cs="仿宋"/>
                <w:spacing w:val="-2"/>
                <w:sz w:val="21"/>
                <w:szCs w:val="21"/>
              </w:rPr>
              <w:t>能项目企业</w:t>
            </w:r>
          </w:p>
        </w:tc>
        <w:tc>
          <w:tcPr>
            <w:tcW w:w="469" w:type="dxa"/>
            <w:tcBorders>
              <w:top w:val="single" w:color="000000" w:sz="4" w:space="0"/>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45" w:line="214" w:lineRule="auto"/>
              <w:ind w:firstLine="174"/>
              <w:jc w:val="left"/>
              <w:rPr>
                <w:rFonts w:ascii="Times New Roman" w:hAnsi="Times New Roman" w:eastAsia="Times New Roman" w:cs="Times New Roman"/>
                <w:sz w:val="9"/>
                <w:szCs w:val="9"/>
              </w:rPr>
            </w:pPr>
            <w:r>
              <w:rPr>
                <w:rFonts w:ascii="Times New Roman" w:hAnsi="Times New Roman" w:eastAsia="Times New Roman" w:cs="Times New Roman"/>
                <w:spacing w:val="20"/>
                <w:w w:val="187"/>
                <w:sz w:val="9"/>
                <w:szCs w:val="9"/>
              </w:rPr>
              <w:t>=</w:t>
            </w:r>
          </w:p>
        </w:tc>
        <w:tc>
          <w:tcPr>
            <w:tcW w:w="661" w:type="dxa"/>
            <w:tcBorders>
              <w:top w:val="single" w:color="000000" w:sz="4" w:space="0"/>
            </w:tcBorders>
            <w:vAlign w:val="top"/>
          </w:tcPr>
          <w:p>
            <w:pPr>
              <w:spacing w:line="240" w:lineRule="auto"/>
              <w:jc w:val="left"/>
              <w:rPr>
                <w:rFonts w:ascii="Arial" w:hAnsi="Arial" w:eastAsia="Arial" w:cs="Arial"/>
                <w:sz w:val="21"/>
                <w:szCs w:val="21"/>
              </w:rPr>
            </w:pPr>
          </w:p>
          <w:p>
            <w:pPr>
              <w:spacing w:before="234" w:line="204" w:lineRule="auto"/>
              <w:ind w:firstLine="190"/>
              <w:jc w:val="left"/>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100</w:t>
            </w:r>
          </w:p>
        </w:tc>
        <w:tc>
          <w:tcPr>
            <w:tcW w:w="488" w:type="dxa"/>
            <w:tcBorders>
              <w:top w:val="single" w:color="000000" w:sz="4" w:space="0"/>
            </w:tcBorders>
            <w:vAlign w:val="top"/>
          </w:tcPr>
          <w:p>
            <w:pPr>
              <w:spacing w:line="240" w:lineRule="auto"/>
              <w:jc w:val="left"/>
              <w:rPr>
                <w:rFonts w:ascii="Arial" w:hAnsi="Arial" w:eastAsia="Arial" w:cs="Arial"/>
                <w:sz w:val="21"/>
                <w:szCs w:val="21"/>
              </w:rPr>
            </w:pPr>
          </w:p>
          <w:p>
            <w:pPr>
              <w:spacing w:before="233" w:line="204" w:lineRule="auto"/>
              <w:ind w:firstLine="158"/>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w:t>
            </w:r>
          </w:p>
        </w:tc>
        <w:tc>
          <w:tcPr>
            <w:tcW w:w="968" w:type="dxa"/>
            <w:tcBorders>
              <w:top w:val="single" w:color="000000" w:sz="4" w:space="0"/>
            </w:tcBorders>
            <w:vAlign w:val="top"/>
          </w:tcPr>
          <w:p>
            <w:pPr>
              <w:spacing w:before="28" w:line="250" w:lineRule="auto"/>
              <w:ind w:left="14" w:firstLine="87"/>
              <w:jc w:val="left"/>
              <w:rPr>
                <w:rFonts w:ascii="仿宋" w:hAnsi="仿宋" w:eastAsia="仿宋" w:cs="仿宋"/>
                <w:sz w:val="19"/>
                <w:szCs w:val="19"/>
              </w:rPr>
            </w:pPr>
            <w:r>
              <w:rPr>
                <w:rFonts w:ascii="仿宋" w:hAnsi="仿宋" w:eastAsia="仿宋" w:cs="仿宋"/>
                <w:spacing w:val="-18"/>
                <w:w w:val="98"/>
                <w:sz w:val="19"/>
                <w:szCs w:val="19"/>
              </w:rPr>
              <w:t>《廊</w:t>
            </w:r>
            <w:r>
              <w:rPr>
                <w:rFonts w:ascii="仿宋" w:hAnsi="仿宋" w:eastAsia="仿宋" w:cs="仿宋"/>
                <w:spacing w:val="-51"/>
                <w:sz w:val="19"/>
                <w:szCs w:val="19"/>
              </w:rPr>
              <w:t xml:space="preserve"> </w:t>
            </w:r>
            <w:r>
              <w:rPr>
                <w:rFonts w:ascii="仿宋" w:hAnsi="仿宋" w:eastAsia="仿宋" w:cs="仿宋"/>
                <w:spacing w:val="-18"/>
                <w:w w:val="98"/>
                <w:sz w:val="19"/>
                <w:szCs w:val="19"/>
              </w:rPr>
              <w:t>坊</w:t>
            </w:r>
            <w:r>
              <w:rPr>
                <w:rFonts w:ascii="仿宋" w:hAnsi="仿宋" w:eastAsia="仿宋" w:cs="仿宋"/>
                <w:spacing w:val="-49"/>
                <w:sz w:val="19"/>
                <w:szCs w:val="19"/>
              </w:rPr>
              <w:t xml:space="preserve"> </w:t>
            </w:r>
            <w:r>
              <w:rPr>
                <w:rFonts w:ascii="仿宋" w:hAnsi="仿宋" w:eastAsia="仿宋" w:cs="仿宋"/>
                <w:spacing w:val="-18"/>
                <w:w w:val="98"/>
                <w:sz w:val="19"/>
                <w:szCs w:val="19"/>
              </w:rPr>
              <w:t>市</w:t>
            </w:r>
            <w:r>
              <w:rPr>
                <w:rFonts w:ascii="仿宋" w:hAnsi="仿宋" w:eastAsia="仿宋" w:cs="仿宋"/>
                <w:spacing w:val="20"/>
                <w:sz w:val="19"/>
                <w:szCs w:val="19"/>
              </w:rPr>
              <w:t xml:space="preserve"> </w:t>
            </w:r>
            <w:r>
              <w:rPr>
                <w:rFonts w:ascii="仿宋" w:hAnsi="仿宋" w:eastAsia="仿宋" w:cs="仿宋"/>
                <w:spacing w:val="-19"/>
                <w:w w:val="99"/>
                <w:sz w:val="19"/>
                <w:szCs w:val="19"/>
              </w:rPr>
              <w:t>节</w:t>
            </w:r>
            <w:r>
              <w:rPr>
                <w:rFonts w:ascii="仿宋" w:hAnsi="仿宋" w:eastAsia="仿宋" w:cs="仿宋"/>
                <w:spacing w:val="-35"/>
                <w:sz w:val="19"/>
                <w:szCs w:val="19"/>
              </w:rPr>
              <w:t xml:space="preserve"> </w:t>
            </w:r>
            <w:r>
              <w:rPr>
                <w:rFonts w:ascii="仿宋" w:hAnsi="仿宋" w:eastAsia="仿宋" w:cs="仿宋"/>
                <w:spacing w:val="-19"/>
                <w:w w:val="99"/>
                <w:sz w:val="19"/>
                <w:szCs w:val="19"/>
              </w:rPr>
              <w:t>能</w:t>
            </w:r>
            <w:r>
              <w:rPr>
                <w:rFonts w:ascii="仿宋" w:hAnsi="仿宋" w:eastAsia="仿宋" w:cs="仿宋"/>
                <w:spacing w:val="-53"/>
                <w:sz w:val="19"/>
                <w:szCs w:val="19"/>
              </w:rPr>
              <w:t xml:space="preserve"> </w:t>
            </w:r>
            <w:r>
              <w:rPr>
                <w:rFonts w:ascii="仿宋" w:hAnsi="仿宋" w:eastAsia="仿宋" w:cs="仿宋"/>
                <w:spacing w:val="-19"/>
                <w:w w:val="99"/>
                <w:sz w:val="19"/>
                <w:szCs w:val="19"/>
              </w:rPr>
              <w:t>项</w:t>
            </w:r>
            <w:r>
              <w:rPr>
                <w:rFonts w:ascii="仿宋" w:hAnsi="仿宋" w:eastAsia="仿宋" w:cs="仿宋"/>
                <w:spacing w:val="-23"/>
                <w:sz w:val="19"/>
                <w:szCs w:val="19"/>
              </w:rPr>
              <w:t xml:space="preserve"> </w:t>
            </w:r>
            <w:r>
              <w:rPr>
                <w:rFonts w:ascii="仿宋" w:hAnsi="仿宋" w:eastAsia="仿宋" w:cs="仿宋"/>
                <w:spacing w:val="-19"/>
                <w:w w:val="99"/>
                <w:sz w:val="19"/>
                <w:szCs w:val="19"/>
              </w:rPr>
              <w:t>目</w:t>
            </w:r>
            <w:r>
              <w:rPr>
                <w:rFonts w:ascii="仿宋" w:hAnsi="仿宋" w:eastAsia="仿宋" w:cs="仿宋"/>
                <w:spacing w:val="20"/>
                <w:sz w:val="19"/>
                <w:szCs w:val="19"/>
              </w:rPr>
              <w:t xml:space="preserve"> </w:t>
            </w:r>
            <w:r>
              <w:rPr>
                <w:rFonts w:ascii="仿宋" w:hAnsi="仿宋" w:eastAsia="仿宋" w:cs="仿宋"/>
                <w:spacing w:val="-10"/>
                <w:sz w:val="19"/>
                <w:szCs w:val="19"/>
              </w:rPr>
              <w:t>专</w:t>
            </w:r>
            <w:r>
              <w:rPr>
                <w:rFonts w:ascii="仿宋" w:hAnsi="仿宋" w:eastAsia="仿宋" w:cs="仿宋"/>
                <w:spacing w:val="-52"/>
                <w:sz w:val="19"/>
                <w:szCs w:val="19"/>
              </w:rPr>
              <w:t xml:space="preserve"> </w:t>
            </w:r>
            <w:r>
              <w:rPr>
                <w:rFonts w:ascii="仿宋" w:hAnsi="仿宋" w:eastAsia="仿宋" w:cs="仿宋"/>
                <w:spacing w:val="-10"/>
                <w:sz w:val="19"/>
                <w:szCs w:val="19"/>
              </w:rPr>
              <w:t>项</w:t>
            </w:r>
            <w:r>
              <w:rPr>
                <w:rFonts w:ascii="仿宋" w:hAnsi="仿宋" w:eastAsia="仿宋" w:cs="仿宋"/>
                <w:spacing w:val="-46"/>
                <w:sz w:val="19"/>
                <w:szCs w:val="19"/>
              </w:rPr>
              <w:t xml:space="preserve"> </w:t>
            </w:r>
            <w:r>
              <w:rPr>
                <w:rFonts w:ascii="仿宋" w:hAnsi="仿宋" w:eastAsia="仿宋" w:cs="仿宋"/>
                <w:spacing w:val="-10"/>
                <w:sz w:val="19"/>
                <w:szCs w:val="19"/>
              </w:rPr>
              <w:t>资</w:t>
            </w:r>
            <w:r>
              <w:rPr>
                <w:rFonts w:ascii="仿宋" w:hAnsi="仿宋" w:eastAsia="仿宋" w:cs="仿宋"/>
                <w:spacing w:val="-56"/>
                <w:sz w:val="19"/>
                <w:szCs w:val="19"/>
              </w:rPr>
              <w:t xml:space="preserve"> </w:t>
            </w:r>
            <w:r>
              <w:rPr>
                <w:rFonts w:ascii="仿宋" w:hAnsi="仿宋" w:eastAsia="仿宋" w:cs="仿宋"/>
                <w:spacing w:val="-10"/>
                <w:sz w:val="19"/>
                <w:szCs w:val="19"/>
              </w:rPr>
              <w:t>金</w:t>
            </w:r>
            <w:r>
              <w:rPr>
                <w:rFonts w:ascii="仿宋" w:hAnsi="仿宋" w:eastAsia="仿宋" w:cs="仿宋"/>
                <w:spacing w:val="19"/>
                <w:sz w:val="19"/>
                <w:szCs w:val="19"/>
              </w:rPr>
              <w:t xml:space="preserve"> </w:t>
            </w:r>
            <w:r>
              <w:rPr>
                <w:rFonts w:ascii="仿宋" w:hAnsi="仿宋" w:eastAsia="仿宋" w:cs="仿宋"/>
                <w:spacing w:val="-1"/>
                <w:sz w:val="19"/>
                <w:szCs w:val="19"/>
              </w:rPr>
              <w:t>管理办法》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91"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bottom w:val="nil"/>
            </w:tcBorders>
            <w:vAlign w:val="top"/>
          </w:tcPr>
          <w:p>
            <w:pPr>
              <w:spacing w:line="240" w:lineRule="auto"/>
              <w:jc w:val="left"/>
              <w:rPr>
                <w:rFonts w:ascii="Arial" w:hAnsi="Arial" w:eastAsia="Arial" w:cs="Arial"/>
                <w:sz w:val="21"/>
                <w:szCs w:val="21"/>
              </w:rPr>
            </w:pPr>
          </w:p>
        </w:tc>
        <w:tc>
          <w:tcPr>
            <w:tcW w:w="1129" w:type="dxa"/>
            <w:vAlign w:val="top"/>
          </w:tcPr>
          <w:p>
            <w:pPr>
              <w:spacing w:before="300" w:line="241" w:lineRule="auto"/>
              <w:ind w:left="22" w:right="6" w:firstLine="1"/>
              <w:jc w:val="left"/>
              <w:rPr>
                <w:rFonts w:ascii="仿宋" w:hAnsi="仿宋" w:eastAsia="仿宋" w:cs="仿宋"/>
                <w:sz w:val="21"/>
                <w:szCs w:val="21"/>
              </w:rPr>
            </w:pPr>
            <w:r>
              <w:rPr>
                <w:rFonts w:ascii="仿宋" w:hAnsi="仿宋" w:eastAsia="仿宋" w:cs="仿宋"/>
                <w:spacing w:val="8"/>
                <w:sz w:val="21"/>
                <w:szCs w:val="21"/>
              </w:rPr>
              <w:t>物资储备质</w:t>
            </w:r>
            <w:r>
              <w:rPr>
                <w:rFonts w:ascii="仿宋" w:hAnsi="仿宋" w:eastAsia="仿宋" w:cs="仿宋"/>
                <w:spacing w:val="-85"/>
                <w:sz w:val="21"/>
                <w:szCs w:val="21"/>
              </w:rPr>
              <w:t xml:space="preserve"> </w:t>
            </w:r>
            <w:r>
              <w:rPr>
                <w:rFonts w:ascii="仿宋" w:hAnsi="仿宋" w:eastAsia="仿宋" w:cs="仿宋"/>
                <w:spacing w:val="-3"/>
                <w:sz w:val="21"/>
                <w:szCs w:val="21"/>
              </w:rPr>
              <w:t>量完好率</w:t>
            </w:r>
          </w:p>
        </w:tc>
        <w:tc>
          <w:tcPr>
            <w:tcW w:w="2181" w:type="dxa"/>
            <w:vAlign w:val="top"/>
          </w:tcPr>
          <w:p>
            <w:pPr>
              <w:spacing w:line="240" w:lineRule="auto"/>
              <w:jc w:val="left"/>
              <w:rPr>
                <w:rFonts w:ascii="Arial" w:hAnsi="Arial" w:eastAsia="Arial" w:cs="Arial"/>
                <w:sz w:val="21"/>
                <w:szCs w:val="21"/>
              </w:rPr>
            </w:pPr>
          </w:p>
          <w:p>
            <w:pPr>
              <w:spacing w:before="77" w:line="245" w:lineRule="auto"/>
              <w:ind w:left="31" w:right="6" w:hanging="16"/>
              <w:jc w:val="left"/>
              <w:rPr>
                <w:rFonts w:ascii="Times New Roman" w:hAnsi="Times New Roman" w:eastAsia="Times New Roman" w:cs="Times New Roman"/>
                <w:sz w:val="21"/>
                <w:szCs w:val="21"/>
              </w:rPr>
            </w:pPr>
            <w:r>
              <w:rPr>
                <w:rFonts w:ascii="仿宋" w:hAnsi="仿宋" w:eastAsia="仿宋" w:cs="仿宋"/>
                <w:spacing w:val="2"/>
                <w:sz w:val="21"/>
                <w:szCs w:val="21"/>
              </w:rPr>
              <w:t>每降低</w:t>
            </w:r>
            <w:r>
              <w:rPr>
                <w:rFonts w:ascii="仿宋" w:hAnsi="仿宋" w:eastAsia="仿宋" w:cs="仿宋"/>
                <w:spacing w:val="12"/>
                <w:sz w:val="21"/>
                <w:szCs w:val="21"/>
              </w:rPr>
              <w:t xml:space="preserve"> </w:t>
            </w:r>
            <w:r>
              <w:rPr>
                <w:rFonts w:ascii="Times New Roman" w:hAnsi="Times New Roman" w:eastAsia="Times New Roman" w:cs="Times New Roman"/>
                <w:spacing w:val="2"/>
                <w:sz w:val="21"/>
                <w:szCs w:val="21"/>
              </w:rPr>
              <w:t>2%</w:t>
            </w:r>
            <w:r>
              <w:rPr>
                <w:rFonts w:ascii="仿宋" w:hAnsi="仿宋" w:eastAsia="仿宋" w:cs="仿宋"/>
                <w:spacing w:val="2"/>
                <w:sz w:val="21"/>
                <w:szCs w:val="21"/>
              </w:rPr>
              <w:t>，</w:t>
            </w:r>
            <w:r>
              <w:rPr>
                <w:rFonts w:ascii="仿宋" w:hAnsi="仿宋" w:eastAsia="仿宋" w:cs="仿宋"/>
                <w:spacing w:val="-84"/>
                <w:sz w:val="21"/>
                <w:szCs w:val="21"/>
              </w:rPr>
              <w:t xml:space="preserve"> </w:t>
            </w:r>
            <w:r>
              <w:rPr>
                <w:rFonts w:ascii="仿宋" w:hAnsi="仿宋" w:eastAsia="仿宋" w:cs="仿宋"/>
                <w:spacing w:val="2"/>
                <w:sz w:val="21"/>
                <w:szCs w:val="21"/>
              </w:rPr>
              <w:t>扣权重分的</w:t>
            </w:r>
            <w:r>
              <w:rPr>
                <w:rFonts w:ascii="仿宋" w:hAnsi="仿宋" w:eastAsia="仿宋" w:cs="仿宋"/>
                <w:spacing w:val="-85"/>
                <w:sz w:val="21"/>
                <w:szCs w:val="21"/>
              </w:rPr>
              <w:t xml:space="preserve"> </w:t>
            </w:r>
            <w:r>
              <w:rPr>
                <w:rFonts w:ascii="Times New Roman" w:hAnsi="Times New Roman" w:eastAsia="Times New Roman" w:cs="Times New Roman"/>
                <w:spacing w:val="-5"/>
                <w:sz w:val="21"/>
                <w:szCs w:val="21"/>
              </w:rPr>
              <w:t>10%</w:t>
            </w:r>
          </w:p>
        </w:tc>
        <w:tc>
          <w:tcPr>
            <w:tcW w:w="1909" w:type="dxa"/>
            <w:vAlign w:val="top"/>
          </w:tcPr>
          <w:p>
            <w:pPr>
              <w:spacing w:before="29" w:line="226" w:lineRule="auto"/>
              <w:ind w:left="10" w:right="6" w:firstLine="10"/>
              <w:jc w:val="left"/>
              <w:rPr>
                <w:rFonts w:ascii="仿宋" w:hAnsi="仿宋" w:eastAsia="仿宋" w:cs="仿宋"/>
                <w:sz w:val="21"/>
                <w:szCs w:val="21"/>
              </w:rPr>
            </w:pPr>
            <w:r>
              <w:rPr>
                <w:rFonts w:ascii="仿宋" w:hAnsi="仿宋" w:eastAsia="仿宋" w:cs="仿宋"/>
                <w:spacing w:val="1"/>
                <w:sz w:val="21"/>
                <w:szCs w:val="21"/>
              </w:rPr>
              <w:t>物资储备质量完好</w:t>
            </w:r>
            <w:r>
              <w:rPr>
                <w:rFonts w:ascii="仿宋" w:hAnsi="仿宋" w:eastAsia="仿宋" w:cs="仿宋"/>
                <w:spacing w:val="-79"/>
                <w:sz w:val="21"/>
                <w:szCs w:val="21"/>
              </w:rPr>
              <w:t xml:space="preserve"> </w:t>
            </w:r>
            <w:r>
              <w:rPr>
                <w:rFonts w:ascii="仿宋" w:hAnsi="仿宋" w:eastAsia="仿宋" w:cs="仿宋"/>
                <w:spacing w:val="10"/>
                <w:sz w:val="21"/>
                <w:szCs w:val="21"/>
              </w:rPr>
              <w:t>率</w:t>
            </w:r>
            <w:r>
              <w:rPr>
                <w:rFonts w:ascii="Times New Roman" w:hAnsi="Times New Roman" w:eastAsia="Times New Roman" w:cs="Times New Roman"/>
                <w:spacing w:val="10"/>
                <w:sz w:val="21"/>
                <w:szCs w:val="21"/>
              </w:rPr>
              <w:t>=</w:t>
            </w:r>
            <w:r>
              <w:rPr>
                <w:rFonts w:ascii="Times New Roman" w:hAnsi="Times New Roman" w:eastAsia="Times New Roman" w:cs="Times New Roman"/>
                <w:spacing w:val="-17"/>
                <w:sz w:val="21"/>
                <w:szCs w:val="21"/>
              </w:rPr>
              <w:t xml:space="preserve"> </w:t>
            </w:r>
            <w:r>
              <w:rPr>
                <w:rFonts w:ascii="仿宋" w:hAnsi="仿宋" w:eastAsia="仿宋" w:cs="仿宋"/>
                <w:spacing w:val="10"/>
                <w:sz w:val="21"/>
                <w:szCs w:val="21"/>
              </w:rPr>
              <w:t>无质量问题储</w:t>
            </w:r>
            <w:r>
              <w:rPr>
                <w:rFonts w:ascii="仿宋" w:hAnsi="仿宋" w:eastAsia="仿宋" w:cs="仿宋"/>
                <w:spacing w:val="-84"/>
                <w:sz w:val="21"/>
                <w:szCs w:val="21"/>
              </w:rPr>
              <w:t xml:space="preserve"> </w:t>
            </w:r>
            <w:r>
              <w:rPr>
                <w:rFonts w:ascii="仿宋" w:hAnsi="仿宋" w:eastAsia="仿宋" w:cs="仿宋"/>
                <w:spacing w:val="5"/>
                <w:w w:val="105"/>
                <w:sz w:val="21"/>
                <w:szCs w:val="21"/>
              </w:rPr>
              <w:t>备物资数量</w:t>
            </w:r>
            <w:r>
              <w:rPr>
                <w:rFonts w:ascii="仿宋" w:hAnsi="仿宋" w:eastAsia="仿宋" w:cs="仿宋"/>
                <w:spacing w:val="-75"/>
                <w:sz w:val="21"/>
                <w:szCs w:val="21"/>
              </w:rPr>
              <w:t xml:space="preserve"> </w:t>
            </w:r>
            <w:r>
              <w:rPr>
                <w:rFonts w:ascii="Times New Roman" w:hAnsi="Times New Roman" w:eastAsia="Times New Roman" w:cs="Times New Roman"/>
                <w:spacing w:val="5"/>
                <w:w w:val="105"/>
                <w:sz w:val="21"/>
                <w:szCs w:val="21"/>
              </w:rPr>
              <w:t>/</w:t>
            </w:r>
            <w:r>
              <w:rPr>
                <w:rFonts w:ascii="Times New Roman" w:hAnsi="Times New Roman" w:eastAsia="Times New Roman" w:cs="Times New Roman"/>
                <w:spacing w:val="-23"/>
                <w:sz w:val="21"/>
                <w:szCs w:val="21"/>
              </w:rPr>
              <w:t xml:space="preserve"> </w:t>
            </w:r>
            <w:r>
              <w:rPr>
                <w:rFonts w:ascii="仿宋" w:hAnsi="仿宋" w:eastAsia="仿宋" w:cs="仿宋"/>
                <w:spacing w:val="5"/>
                <w:w w:val="105"/>
                <w:sz w:val="21"/>
                <w:szCs w:val="21"/>
              </w:rPr>
              <w:t>全部</w:t>
            </w:r>
            <w:r>
              <w:rPr>
                <w:rFonts w:ascii="仿宋" w:hAnsi="仿宋" w:eastAsia="仿宋" w:cs="仿宋"/>
                <w:spacing w:val="-85"/>
                <w:sz w:val="21"/>
                <w:szCs w:val="21"/>
              </w:rPr>
              <w:t xml:space="preserve"> </w:t>
            </w:r>
            <w:r>
              <w:rPr>
                <w:rFonts w:ascii="仿宋" w:hAnsi="仿宋" w:eastAsia="仿宋" w:cs="仿宋"/>
                <w:spacing w:val="-1"/>
                <w:sz w:val="21"/>
                <w:szCs w:val="21"/>
              </w:rPr>
              <w:t>储存数量</w:t>
            </w:r>
          </w:p>
        </w:tc>
        <w:tc>
          <w:tcPr>
            <w:tcW w:w="46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44" w:line="214" w:lineRule="auto"/>
              <w:ind w:firstLine="174"/>
              <w:jc w:val="left"/>
              <w:rPr>
                <w:rFonts w:ascii="Times New Roman" w:hAnsi="Times New Roman" w:eastAsia="Times New Roman" w:cs="Times New Roman"/>
                <w:sz w:val="9"/>
                <w:szCs w:val="9"/>
              </w:rPr>
            </w:pPr>
            <w:r>
              <w:rPr>
                <w:rFonts w:ascii="Times New Roman" w:hAnsi="Times New Roman" w:eastAsia="Times New Roman" w:cs="Times New Roman"/>
                <w:spacing w:val="20"/>
                <w:w w:val="187"/>
                <w:sz w:val="9"/>
                <w:szCs w:val="9"/>
              </w:rPr>
              <w:t>=</w:t>
            </w:r>
          </w:p>
        </w:tc>
        <w:tc>
          <w:tcPr>
            <w:tcW w:w="661" w:type="dxa"/>
            <w:vAlign w:val="top"/>
          </w:tcPr>
          <w:p>
            <w:pPr>
              <w:spacing w:line="240" w:lineRule="auto"/>
              <w:jc w:val="left"/>
              <w:rPr>
                <w:rFonts w:ascii="Arial" w:hAnsi="Arial" w:eastAsia="Arial" w:cs="Arial"/>
                <w:sz w:val="21"/>
                <w:szCs w:val="21"/>
              </w:rPr>
            </w:pPr>
          </w:p>
          <w:p>
            <w:pPr>
              <w:spacing w:before="233" w:line="204" w:lineRule="auto"/>
              <w:ind w:firstLine="190"/>
              <w:jc w:val="left"/>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100</w:t>
            </w:r>
          </w:p>
        </w:tc>
        <w:tc>
          <w:tcPr>
            <w:tcW w:w="488" w:type="dxa"/>
            <w:vAlign w:val="top"/>
          </w:tcPr>
          <w:p>
            <w:pPr>
              <w:spacing w:line="240" w:lineRule="auto"/>
              <w:jc w:val="left"/>
              <w:rPr>
                <w:rFonts w:ascii="Arial" w:hAnsi="Arial" w:eastAsia="Arial" w:cs="Arial"/>
                <w:sz w:val="21"/>
                <w:szCs w:val="21"/>
              </w:rPr>
            </w:pPr>
          </w:p>
          <w:p>
            <w:pPr>
              <w:spacing w:before="233" w:line="204" w:lineRule="auto"/>
              <w:ind w:firstLine="158"/>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w:t>
            </w:r>
          </w:p>
        </w:tc>
        <w:tc>
          <w:tcPr>
            <w:tcW w:w="968" w:type="dxa"/>
            <w:vAlign w:val="top"/>
          </w:tcPr>
          <w:p>
            <w:pPr>
              <w:spacing w:before="166" w:line="239" w:lineRule="auto"/>
              <w:ind w:left="15" w:right="7" w:firstLine="94"/>
              <w:jc w:val="left"/>
              <w:rPr>
                <w:rFonts w:ascii="仿宋" w:hAnsi="仿宋" w:eastAsia="仿宋" w:cs="仿宋"/>
                <w:sz w:val="21"/>
                <w:szCs w:val="21"/>
              </w:rPr>
            </w:pPr>
            <w:r>
              <w:rPr>
                <w:rFonts w:ascii="仿宋" w:hAnsi="仿宋" w:eastAsia="仿宋" w:cs="仿宋"/>
                <w:spacing w:val="-20"/>
                <w:w w:val="96"/>
                <w:sz w:val="21"/>
                <w:szCs w:val="21"/>
              </w:rPr>
              <w:t>《救</w:t>
            </w:r>
            <w:r>
              <w:rPr>
                <w:rFonts w:ascii="仿宋" w:hAnsi="仿宋" w:eastAsia="仿宋" w:cs="仿宋"/>
                <w:spacing w:val="-38"/>
                <w:sz w:val="21"/>
                <w:szCs w:val="21"/>
              </w:rPr>
              <w:t xml:space="preserve"> </w:t>
            </w:r>
            <w:r>
              <w:rPr>
                <w:rFonts w:ascii="仿宋" w:hAnsi="仿宋" w:eastAsia="仿宋" w:cs="仿宋"/>
                <w:spacing w:val="-20"/>
                <w:w w:val="96"/>
                <w:sz w:val="21"/>
                <w:szCs w:val="21"/>
              </w:rPr>
              <w:t>灾</w:t>
            </w:r>
            <w:r>
              <w:rPr>
                <w:rFonts w:ascii="仿宋" w:hAnsi="仿宋" w:eastAsia="仿宋" w:cs="仿宋"/>
                <w:spacing w:val="-57"/>
                <w:sz w:val="21"/>
                <w:szCs w:val="21"/>
              </w:rPr>
              <w:t xml:space="preserve"> </w:t>
            </w:r>
            <w:r>
              <w:rPr>
                <w:rFonts w:ascii="仿宋" w:hAnsi="仿宋" w:eastAsia="仿宋" w:cs="仿宋"/>
                <w:spacing w:val="-20"/>
                <w:w w:val="96"/>
                <w:sz w:val="21"/>
                <w:szCs w:val="21"/>
              </w:rPr>
              <w:t>物</w:t>
            </w:r>
            <w:r>
              <w:rPr>
                <w:rFonts w:ascii="仿宋" w:hAnsi="仿宋" w:eastAsia="仿宋" w:cs="仿宋"/>
                <w:spacing w:val="-85"/>
                <w:sz w:val="21"/>
                <w:szCs w:val="21"/>
              </w:rPr>
              <w:t xml:space="preserve"> </w:t>
            </w:r>
            <w:r>
              <w:rPr>
                <w:rFonts w:ascii="仿宋" w:hAnsi="仿宋" w:eastAsia="仿宋" w:cs="仿宋"/>
                <w:spacing w:val="-8"/>
                <w:sz w:val="21"/>
                <w:szCs w:val="21"/>
              </w:rPr>
              <w:t>资</w:t>
            </w:r>
            <w:r>
              <w:rPr>
                <w:rFonts w:ascii="仿宋" w:hAnsi="仿宋" w:eastAsia="仿宋" w:cs="仿宋"/>
                <w:spacing w:val="-66"/>
                <w:sz w:val="21"/>
                <w:szCs w:val="21"/>
              </w:rPr>
              <w:t xml:space="preserve"> </w:t>
            </w:r>
            <w:r>
              <w:rPr>
                <w:rFonts w:ascii="仿宋" w:hAnsi="仿宋" w:eastAsia="仿宋" w:cs="仿宋"/>
                <w:spacing w:val="-8"/>
                <w:sz w:val="21"/>
                <w:szCs w:val="21"/>
              </w:rPr>
              <w:t>储</w:t>
            </w:r>
            <w:r>
              <w:rPr>
                <w:rFonts w:ascii="仿宋" w:hAnsi="仿宋" w:eastAsia="仿宋" w:cs="仿宋"/>
                <w:spacing w:val="-58"/>
                <w:sz w:val="21"/>
                <w:szCs w:val="21"/>
              </w:rPr>
              <w:t xml:space="preserve"> </w:t>
            </w:r>
            <w:r>
              <w:rPr>
                <w:rFonts w:ascii="仿宋" w:hAnsi="仿宋" w:eastAsia="仿宋" w:cs="仿宋"/>
                <w:spacing w:val="-8"/>
                <w:sz w:val="21"/>
                <w:szCs w:val="21"/>
              </w:rPr>
              <w:t>备</w:t>
            </w:r>
            <w:r>
              <w:rPr>
                <w:rFonts w:ascii="仿宋" w:hAnsi="仿宋" w:eastAsia="仿宋" w:cs="仿宋"/>
                <w:spacing w:val="-63"/>
                <w:sz w:val="21"/>
                <w:szCs w:val="21"/>
              </w:rPr>
              <w:t xml:space="preserve"> </w:t>
            </w:r>
            <w:r>
              <w:rPr>
                <w:rFonts w:ascii="仿宋" w:hAnsi="仿宋" w:eastAsia="仿宋" w:cs="仿宋"/>
                <w:spacing w:val="-8"/>
                <w:sz w:val="21"/>
                <w:szCs w:val="21"/>
              </w:rPr>
              <w:t>管</w:t>
            </w:r>
            <w:r>
              <w:rPr>
                <w:rFonts w:ascii="仿宋" w:hAnsi="仿宋" w:eastAsia="仿宋" w:cs="仿宋"/>
                <w:spacing w:val="-85"/>
                <w:sz w:val="21"/>
                <w:szCs w:val="21"/>
              </w:rPr>
              <w:t xml:space="preserve"> </w:t>
            </w:r>
            <w:r>
              <w:rPr>
                <w:rFonts w:ascii="仿宋" w:hAnsi="仿宋" w:eastAsia="仿宋" w:cs="仿宋"/>
                <w:spacing w:val="-2"/>
                <w:sz w:val="21"/>
                <w:szCs w:val="21"/>
              </w:rPr>
              <w:t>理办法》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91"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tcBorders>
            <w:vAlign w:val="top"/>
          </w:tcPr>
          <w:p>
            <w:pPr>
              <w:spacing w:line="240" w:lineRule="auto"/>
              <w:jc w:val="left"/>
              <w:rPr>
                <w:rFonts w:ascii="Arial" w:hAnsi="Arial" w:eastAsia="Arial" w:cs="Arial"/>
                <w:sz w:val="21"/>
                <w:szCs w:val="21"/>
              </w:rPr>
            </w:pPr>
          </w:p>
        </w:tc>
        <w:tc>
          <w:tcPr>
            <w:tcW w:w="1129" w:type="dxa"/>
            <w:vAlign w:val="top"/>
          </w:tcPr>
          <w:p>
            <w:pPr>
              <w:spacing w:before="29" w:line="226" w:lineRule="auto"/>
              <w:ind w:left="23" w:right="6" w:firstLine="2"/>
              <w:jc w:val="left"/>
              <w:rPr>
                <w:rFonts w:ascii="仿宋" w:hAnsi="仿宋" w:eastAsia="仿宋" w:cs="仿宋"/>
                <w:sz w:val="21"/>
                <w:szCs w:val="21"/>
              </w:rPr>
            </w:pPr>
            <w:r>
              <w:rPr>
                <w:rFonts w:ascii="仿宋" w:hAnsi="仿宋" w:eastAsia="仿宋" w:cs="仿宋"/>
                <w:spacing w:val="7"/>
                <w:sz w:val="21"/>
                <w:szCs w:val="21"/>
              </w:rPr>
              <w:t>下发集中隔</w:t>
            </w:r>
            <w:r>
              <w:rPr>
                <w:rFonts w:ascii="仿宋" w:hAnsi="仿宋" w:eastAsia="仿宋" w:cs="仿宋"/>
                <w:spacing w:val="-82"/>
                <w:sz w:val="21"/>
                <w:szCs w:val="21"/>
              </w:rPr>
              <w:t xml:space="preserve"> </w:t>
            </w:r>
            <w:r>
              <w:rPr>
                <w:rFonts w:ascii="仿宋" w:hAnsi="仿宋" w:eastAsia="仿宋" w:cs="仿宋"/>
                <w:spacing w:val="8"/>
                <w:sz w:val="21"/>
                <w:szCs w:val="21"/>
              </w:rPr>
              <w:t>离医学观察</w:t>
            </w:r>
            <w:r>
              <w:rPr>
                <w:rFonts w:ascii="仿宋" w:hAnsi="仿宋" w:eastAsia="仿宋" w:cs="仿宋"/>
                <w:spacing w:val="-85"/>
                <w:sz w:val="21"/>
                <w:szCs w:val="21"/>
              </w:rPr>
              <w:t xml:space="preserve"> </w:t>
            </w:r>
            <w:r>
              <w:rPr>
                <w:rFonts w:ascii="仿宋" w:hAnsi="仿宋" w:eastAsia="仿宋" w:cs="仿宋"/>
                <w:spacing w:val="8"/>
                <w:sz w:val="21"/>
                <w:szCs w:val="21"/>
              </w:rPr>
              <w:t>点资金准确</w:t>
            </w:r>
            <w:r>
              <w:rPr>
                <w:rFonts w:ascii="仿宋" w:hAnsi="仿宋" w:eastAsia="仿宋" w:cs="仿宋"/>
                <w:spacing w:val="-85"/>
                <w:sz w:val="21"/>
                <w:szCs w:val="21"/>
              </w:rPr>
              <w:t xml:space="preserve"> </w:t>
            </w:r>
            <w:r>
              <w:rPr>
                <w:rFonts w:ascii="仿宋" w:hAnsi="仿宋" w:eastAsia="仿宋" w:cs="仿宋"/>
                <w:sz w:val="21"/>
                <w:szCs w:val="21"/>
              </w:rPr>
              <w:t>率</w:t>
            </w:r>
          </w:p>
        </w:tc>
        <w:tc>
          <w:tcPr>
            <w:tcW w:w="2181" w:type="dxa"/>
            <w:vAlign w:val="top"/>
          </w:tcPr>
          <w:p>
            <w:pPr>
              <w:spacing w:before="300" w:line="241" w:lineRule="auto"/>
              <w:ind w:left="19" w:right="7" w:firstLine="1"/>
              <w:jc w:val="left"/>
              <w:rPr>
                <w:rFonts w:ascii="仿宋" w:hAnsi="仿宋" w:eastAsia="仿宋" w:cs="仿宋"/>
                <w:sz w:val="21"/>
                <w:szCs w:val="21"/>
              </w:rPr>
            </w:pPr>
            <w:r>
              <w:rPr>
                <w:rFonts w:ascii="仿宋" w:hAnsi="仿宋" w:eastAsia="仿宋" w:cs="仿宋"/>
                <w:spacing w:val="-1"/>
                <w:sz w:val="21"/>
                <w:szCs w:val="21"/>
              </w:rPr>
              <w:t>符合标准的满分，</w:t>
            </w:r>
            <w:r>
              <w:rPr>
                <w:rFonts w:ascii="仿宋" w:hAnsi="仿宋" w:eastAsia="仿宋" w:cs="仿宋"/>
                <w:spacing w:val="-80"/>
                <w:sz w:val="21"/>
                <w:szCs w:val="21"/>
              </w:rPr>
              <w:t xml:space="preserve"> </w:t>
            </w:r>
            <w:r>
              <w:rPr>
                <w:rFonts w:ascii="仿宋" w:hAnsi="仿宋" w:eastAsia="仿宋" w:cs="仿宋"/>
                <w:spacing w:val="-1"/>
                <w:sz w:val="21"/>
                <w:szCs w:val="21"/>
              </w:rPr>
              <w:t>不符合</w:t>
            </w:r>
            <w:r>
              <w:rPr>
                <w:rFonts w:ascii="仿宋" w:hAnsi="仿宋" w:eastAsia="仿宋" w:cs="仿宋"/>
                <w:spacing w:val="-85"/>
                <w:sz w:val="21"/>
                <w:szCs w:val="21"/>
              </w:rPr>
              <w:t xml:space="preserve"> </w:t>
            </w:r>
            <w:r>
              <w:rPr>
                <w:rFonts w:ascii="仿宋" w:hAnsi="仿宋" w:eastAsia="仿宋" w:cs="仿宋"/>
                <w:spacing w:val="-2"/>
                <w:sz w:val="21"/>
                <w:szCs w:val="21"/>
              </w:rPr>
              <w:t>不得分</w:t>
            </w:r>
          </w:p>
        </w:tc>
        <w:tc>
          <w:tcPr>
            <w:tcW w:w="1909" w:type="dxa"/>
            <w:vAlign w:val="top"/>
          </w:tcPr>
          <w:p>
            <w:pPr>
              <w:spacing w:before="168" w:line="239" w:lineRule="auto"/>
              <w:ind w:left="12" w:right="8"/>
              <w:jc w:val="left"/>
              <w:rPr>
                <w:rFonts w:ascii="仿宋" w:hAnsi="仿宋" w:eastAsia="仿宋" w:cs="仿宋"/>
                <w:sz w:val="21"/>
                <w:szCs w:val="21"/>
              </w:rPr>
            </w:pPr>
            <w:r>
              <w:rPr>
                <w:rFonts w:ascii="仿宋" w:hAnsi="仿宋" w:eastAsia="仿宋" w:cs="仿宋"/>
                <w:spacing w:val="2"/>
                <w:sz w:val="21"/>
                <w:szCs w:val="21"/>
              </w:rPr>
              <w:t>该指标主要考核下</w:t>
            </w:r>
            <w:r>
              <w:rPr>
                <w:rFonts w:ascii="仿宋" w:hAnsi="仿宋" w:eastAsia="仿宋" w:cs="仿宋"/>
                <w:spacing w:val="-81"/>
                <w:sz w:val="21"/>
                <w:szCs w:val="21"/>
              </w:rPr>
              <w:t xml:space="preserve"> </w:t>
            </w:r>
            <w:r>
              <w:rPr>
                <w:rFonts w:ascii="仿宋" w:hAnsi="仿宋" w:eastAsia="仿宋" w:cs="仿宋"/>
                <w:spacing w:val="2"/>
                <w:sz w:val="21"/>
                <w:szCs w:val="21"/>
              </w:rPr>
              <w:t>发集中隔离医学观</w:t>
            </w:r>
            <w:r>
              <w:rPr>
                <w:rFonts w:ascii="仿宋" w:hAnsi="仿宋" w:eastAsia="仿宋" w:cs="仿宋"/>
                <w:spacing w:val="-81"/>
                <w:sz w:val="21"/>
                <w:szCs w:val="21"/>
              </w:rPr>
              <w:t xml:space="preserve"> </w:t>
            </w:r>
            <w:r>
              <w:rPr>
                <w:rFonts w:ascii="仿宋" w:hAnsi="仿宋" w:eastAsia="仿宋" w:cs="仿宋"/>
                <w:spacing w:val="-1"/>
                <w:sz w:val="21"/>
                <w:szCs w:val="21"/>
              </w:rPr>
              <w:t>察点资金是否准确</w:t>
            </w:r>
          </w:p>
        </w:tc>
        <w:tc>
          <w:tcPr>
            <w:tcW w:w="46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44" w:line="214" w:lineRule="auto"/>
              <w:ind w:firstLine="174"/>
              <w:jc w:val="left"/>
              <w:rPr>
                <w:rFonts w:ascii="Times New Roman" w:hAnsi="Times New Roman" w:eastAsia="Times New Roman" w:cs="Times New Roman"/>
                <w:sz w:val="9"/>
                <w:szCs w:val="9"/>
              </w:rPr>
            </w:pPr>
            <w:r>
              <w:rPr>
                <w:rFonts w:ascii="Times New Roman" w:hAnsi="Times New Roman" w:eastAsia="Times New Roman" w:cs="Times New Roman"/>
                <w:spacing w:val="20"/>
                <w:w w:val="187"/>
                <w:sz w:val="9"/>
                <w:szCs w:val="9"/>
              </w:rPr>
              <w:t>=</w:t>
            </w:r>
          </w:p>
        </w:tc>
        <w:tc>
          <w:tcPr>
            <w:tcW w:w="661" w:type="dxa"/>
            <w:vAlign w:val="top"/>
          </w:tcPr>
          <w:p>
            <w:pPr>
              <w:spacing w:line="240" w:lineRule="auto"/>
              <w:jc w:val="left"/>
              <w:rPr>
                <w:rFonts w:ascii="Arial" w:hAnsi="Arial" w:eastAsia="Arial" w:cs="Arial"/>
                <w:sz w:val="21"/>
                <w:szCs w:val="21"/>
              </w:rPr>
            </w:pPr>
          </w:p>
          <w:p>
            <w:pPr>
              <w:spacing w:before="233" w:line="204" w:lineRule="auto"/>
              <w:ind w:firstLine="190"/>
              <w:jc w:val="left"/>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100</w:t>
            </w:r>
          </w:p>
        </w:tc>
        <w:tc>
          <w:tcPr>
            <w:tcW w:w="488" w:type="dxa"/>
            <w:vAlign w:val="top"/>
          </w:tcPr>
          <w:p>
            <w:pPr>
              <w:spacing w:line="240" w:lineRule="auto"/>
              <w:jc w:val="left"/>
              <w:rPr>
                <w:rFonts w:ascii="Arial" w:hAnsi="Arial" w:eastAsia="Arial" w:cs="Arial"/>
                <w:sz w:val="21"/>
                <w:szCs w:val="21"/>
              </w:rPr>
            </w:pPr>
          </w:p>
          <w:p>
            <w:pPr>
              <w:spacing w:before="232" w:line="204" w:lineRule="auto"/>
              <w:ind w:firstLine="158"/>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w:t>
            </w:r>
          </w:p>
        </w:tc>
        <w:tc>
          <w:tcPr>
            <w:tcW w:w="968" w:type="dxa"/>
            <w:vAlign w:val="top"/>
          </w:tcPr>
          <w:p>
            <w:pPr>
              <w:spacing w:line="240" w:lineRule="auto"/>
              <w:jc w:val="left"/>
              <w:rPr>
                <w:rFonts w:ascii="Arial" w:hAnsi="Arial" w:eastAsia="Arial" w:cs="Arial"/>
                <w:sz w:val="21"/>
                <w:szCs w:val="21"/>
              </w:rPr>
            </w:pPr>
          </w:p>
          <w:p>
            <w:pPr>
              <w:spacing w:before="196" w:line="204" w:lineRule="auto"/>
              <w:ind w:firstLine="15"/>
              <w:jc w:val="left"/>
              <w:rPr>
                <w:rFonts w:ascii="仿宋" w:hAnsi="仿宋" w:eastAsia="仿宋" w:cs="仿宋"/>
                <w:sz w:val="21"/>
                <w:szCs w:val="21"/>
              </w:rPr>
            </w:pPr>
            <w:r>
              <w:rPr>
                <w:rFonts w:ascii="仿宋" w:hAnsi="仿宋" w:eastAsia="仿宋" w:cs="仿宋"/>
                <w:spacing w:val="-2"/>
                <w:sz w:val="21"/>
                <w:szCs w:val="21"/>
              </w:rPr>
              <w:t>财务资料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10"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restart"/>
            <w:tcBorders>
              <w:bottom w:val="nil"/>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22" w:line="204" w:lineRule="auto"/>
              <w:ind w:firstLine="154"/>
              <w:jc w:val="left"/>
              <w:rPr>
                <w:rFonts w:ascii="仿宋" w:hAnsi="仿宋" w:eastAsia="仿宋" w:cs="仿宋"/>
                <w:sz w:val="21"/>
                <w:szCs w:val="21"/>
              </w:rPr>
            </w:pPr>
            <w:r>
              <w:rPr>
                <w:rFonts w:ascii="仿宋" w:hAnsi="仿宋" w:eastAsia="仿宋" w:cs="仿宋"/>
                <w:spacing w:val="-7"/>
                <w:sz w:val="21"/>
                <w:szCs w:val="21"/>
              </w:rPr>
              <w:t>时效</w:t>
            </w:r>
          </w:p>
        </w:tc>
        <w:tc>
          <w:tcPr>
            <w:tcW w:w="1129" w:type="dxa"/>
            <w:vAlign w:val="top"/>
          </w:tcPr>
          <w:p>
            <w:pPr>
              <w:spacing w:before="210" w:line="241" w:lineRule="auto"/>
              <w:ind w:left="14" w:right="6" w:firstLine="27"/>
              <w:jc w:val="left"/>
              <w:rPr>
                <w:rFonts w:ascii="仿宋" w:hAnsi="仿宋" w:eastAsia="仿宋" w:cs="仿宋"/>
                <w:sz w:val="21"/>
                <w:szCs w:val="21"/>
              </w:rPr>
            </w:pPr>
            <w:r>
              <w:rPr>
                <w:rFonts w:ascii="仿宋" w:hAnsi="仿宋" w:eastAsia="仿宋" w:cs="仿宋"/>
                <w:spacing w:val="4"/>
                <w:sz w:val="21"/>
                <w:szCs w:val="21"/>
              </w:rPr>
              <w:t>电代煤安全</w:t>
            </w:r>
            <w:r>
              <w:rPr>
                <w:rFonts w:ascii="仿宋" w:hAnsi="仿宋" w:eastAsia="仿宋" w:cs="仿宋"/>
                <w:spacing w:val="-83"/>
                <w:sz w:val="21"/>
                <w:szCs w:val="21"/>
              </w:rPr>
              <w:t xml:space="preserve"> </w:t>
            </w:r>
            <w:r>
              <w:rPr>
                <w:rFonts w:ascii="仿宋" w:hAnsi="仿宋" w:eastAsia="仿宋" w:cs="仿宋"/>
                <w:spacing w:val="-1"/>
                <w:sz w:val="21"/>
                <w:szCs w:val="21"/>
              </w:rPr>
              <w:t>检查及时性</w:t>
            </w:r>
          </w:p>
        </w:tc>
        <w:tc>
          <w:tcPr>
            <w:tcW w:w="2181" w:type="dxa"/>
            <w:vAlign w:val="top"/>
          </w:tcPr>
          <w:p>
            <w:pPr>
              <w:spacing w:before="210" w:line="241" w:lineRule="auto"/>
              <w:ind w:left="19" w:right="7" w:firstLine="1"/>
              <w:jc w:val="left"/>
              <w:rPr>
                <w:rFonts w:ascii="仿宋" w:hAnsi="仿宋" w:eastAsia="仿宋" w:cs="仿宋"/>
                <w:sz w:val="21"/>
                <w:szCs w:val="21"/>
              </w:rPr>
            </w:pPr>
            <w:r>
              <w:rPr>
                <w:rFonts w:ascii="仿宋" w:hAnsi="仿宋" w:eastAsia="仿宋" w:cs="仿宋"/>
                <w:spacing w:val="-1"/>
                <w:sz w:val="21"/>
                <w:szCs w:val="21"/>
              </w:rPr>
              <w:t>符合要求得满分，</w:t>
            </w:r>
            <w:r>
              <w:rPr>
                <w:rFonts w:ascii="仿宋" w:hAnsi="仿宋" w:eastAsia="仿宋" w:cs="仿宋"/>
                <w:spacing w:val="-80"/>
                <w:sz w:val="21"/>
                <w:szCs w:val="21"/>
              </w:rPr>
              <w:t xml:space="preserve"> </w:t>
            </w:r>
            <w:r>
              <w:rPr>
                <w:rFonts w:ascii="仿宋" w:hAnsi="仿宋" w:eastAsia="仿宋" w:cs="仿宋"/>
                <w:spacing w:val="-1"/>
                <w:sz w:val="21"/>
                <w:szCs w:val="21"/>
              </w:rPr>
              <w:t>不符合</w:t>
            </w:r>
            <w:r>
              <w:rPr>
                <w:rFonts w:ascii="仿宋" w:hAnsi="仿宋" w:eastAsia="仿宋" w:cs="仿宋"/>
                <w:spacing w:val="-85"/>
                <w:sz w:val="21"/>
                <w:szCs w:val="21"/>
              </w:rPr>
              <w:t xml:space="preserve"> </w:t>
            </w:r>
            <w:r>
              <w:rPr>
                <w:rFonts w:ascii="仿宋" w:hAnsi="仿宋" w:eastAsia="仿宋" w:cs="仿宋"/>
                <w:spacing w:val="-2"/>
                <w:sz w:val="21"/>
                <w:szCs w:val="21"/>
              </w:rPr>
              <w:t>不得分</w:t>
            </w:r>
          </w:p>
        </w:tc>
        <w:tc>
          <w:tcPr>
            <w:tcW w:w="1909" w:type="dxa"/>
            <w:vAlign w:val="top"/>
          </w:tcPr>
          <w:p>
            <w:pPr>
              <w:spacing w:before="74" w:line="240" w:lineRule="auto"/>
              <w:ind w:left="12" w:right="8"/>
              <w:jc w:val="left"/>
              <w:rPr>
                <w:rFonts w:ascii="仿宋" w:hAnsi="仿宋" w:eastAsia="仿宋" w:cs="仿宋"/>
                <w:sz w:val="21"/>
                <w:szCs w:val="21"/>
              </w:rPr>
            </w:pPr>
            <w:r>
              <w:rPr>
                <w:rFonts w:ascii="仿宋" w:hAnsi="仿宋" w:eastAsia="仿宋" w:cs="仿宋"/>
                <w:spacing w:val="2"/>
                <w:sz w:val="21"/>
                <w:szCs w:val="21"/>
              </w:rPr>
              <w:t>该指标主要考试电</w:t>
            </w:r>
            <w:r>
              <w:rPr>
                <w:rFonts w:ascii="仿宋" w:hAnsi="仿宋" w:eastAsia="仿宋" w:cs="仿宋"/>
                <w:spacing w:val="-81"/>
                <w:sz w:val="21"/>
                <w:szCs w:val="21"/>
              </w:rPr>
              <w:t xml:space="preserve"> </w:t>
            </w:r>
            <w:r>
              <w:rPr>
                <w:rFonts w:ascii="仿宋" w:hAnsi="仿宋" w:eastAsia="仿宋" w:cs="仿宋"/>
                <w:spacing w:val="2"/>
                <w:sz w:val="21"/>
                <w:szCs w:val="21"/>
              </w:rPr>
              <w:t>代煤安全检查是否</w:t>
            </w:r>
            <w:r>
              <w:rPr>
                <w:rFonts w:ascii="仿宋" w:hAnsi="仿宋" w:eastAsia="仿宋" w:cs="仿宋"/>
                <w:spacing w:val="-81"/>
                <w:sz w:val="21"/>
                <w:szCs w:val="21"/>
              </w:rPr>
              <w:t xml:space="preserve"> </w:t>
            </w:r>
            <w:r>
              <w:rPr>
                <w:rFonts w:ascii="仿宋" w:hAnsi="仿宋" w:eastAsia="仿宋" w:cs="仿宋"/>
                <w:spacing w:val="-1"/>
                <w:sz w:val="21"/>
                <w:szCs w:val="21"/>
              </w:rPr>
              <w:t>按要求时间开展</w:t>
            </w:r>
          </w:p>
        </w:tc>
        <w:tc>
          <w:tcPr>
            <w:tcW w:w="469" w:type="dxa"/>
            <w:vAlign w:val="top"/>
          </w:tcPr>
          <w:p>
            <w:pPr>
              <w:spacing w:line="240" w:lineRule="auto"/>
              <w:jc w:val="left"/>
              <w:rPr>
                <w:rFonts w:ascii="Arial" w:hAnsi="Arial" w:eastAsia="Arial" w:cs="Arial"/>
                <w:sz w:val="21"/>
                <w:szCs w:val="21"/>
              </w:rPr>
            </w:pPr>
          </w:p>
        </w:tc>
        <w:tc>
          <w:tcPr>
            <w:tcW w:w="661" w:type="dxa"/>
            <w:vAlign w:val="top"/>
          </w:tcPr>
          <w:p>
            <w:pPr>
              <w:spacing w:line="240" w:lineRule="auto"/>
              <w:jc w:val="left"/>
              <w:rPr>
                <w:rFonts w:ascii="Arial" w:hAnsi="Arial" w:eastAsia="Arial" w:cs="Arial"/>
                <w:sz w:val="21"/>
                <w:szCs w:val="21"/>
              </w:rPr>
            </w:pPr>
          </w:p>
          <w:p>
            <w:pPr>
              <w:spacing w:before="105" w:line="204" w:lineRule="auto"/>
              <w:ind w:firstLine="118"/>
              <w:jc w:val="left"/>
              <w:rPr>
                <w:rFonts w:ascii="仿宋" w:hAnsi="仿宋" w:eastAsia="仿宋" w:cs="仿宋"/>
                <w:sz w:val="21"/>
                <w:szCs w:val="21"/>
              </w:rPr>
            </w:pPr>
            <w:r>
              <w:rPr>
                <w:rFonts w:ascii="仿宋" w:hAnsi="仿宋" w:eastAsia="仿宋" w:cs="仿宋"/>
                <w:spacing w:val="-1"/>
                <w:sz w:val="21"/>
                <w:szCs w:val="21"/>
              </w:rPr>
              <w:t>及时</w:t>
            </w:r>
          </w:p>
        </w:tc>
        <w:tc>
          <w:tcPr>
            <w:tcW w:w="488" w:type="dxa"/>
            <w:vAlign w:val="top"/>
          </w:tcPr>
          <w:p>
            <w:pPr>
              <w:spacing w:line="240" w:lineRule="auto"/>
              <w:jc w:val="left"/>
              <w:rPr>
                <w:rFonts w:ascii="Arial" w:hAnsi="Arial" w:eastAsia="Arial" w:cs="Arial"/>
                <w:sz w:val="21"/>
                <w:szCs w:val="21"/>
              </w:rPr>
            </w:pPr>
          </w:p>
        </w:tc>
        <w:tc>
          <w:tcPr>
            <w:tcW w:w="968" w:type="dxa"/>
            <w:vAlign w:val="top"/>
          </w:tcPr>
          <w:p>
            <w:pPr>
              <w:spacing w:line="240" w:lineRule="auto"/>
              <w:jc w:val="left"/>
              <w:rPr>
                <w:rFonts w:ascii="Arial" w:hAnsi="Arial" w:eastAsia="Arial" w:cs="Arial"/>
                <w:sz w:val="21"/>
                <w:szCs w:val="21"/>
              </w:rPr>
            </w:pPr>
          </w:p>
          <w:p>
            <w:pPr>
              <w:spacing w:before="105" w:line="204" w:lineRule="auto"/>
              <w:ind w:firstLine="18"/>
              <w:jc w:val="left"/>
              <w:rPr>
                <w:rFonts w:ascii="仿宋" w:hAnsi="仿宋" w:eastAsia="仿宋" w:cs="仿宋"/>
                <w:sz w:val="21"/>
                <w:szCs w:val="21"/>
              </w:rPr>
            </w:pPr>
            <w:r>
              <w:rPr>
                <w:rFonts w:ascii="仿宋" w:hAnsi="仿宋" w:eastAsia="仿宋" w:cs="仿宋"/>
                <w:spacing w:val="-3"/>
                <w:sz w:val="21"/>
                <w:szCs w:val="21"/>
              </w:rPr>
              <w:t>工作计划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475" w:hRule="atLeast"/>
        </w:trPr>
        <w:tc>
          <w:tcPr>
            <w:tcW w:w="584" w:type="dxa"/>
            <w:vMerge w:val="continue"/>
            <w:tcBorders>
              <w:top w:val="nil"/>
            </w:tcBorders>
            <w:vAlign w:val="top"/>
          </w:tcPr>
          <w:p>
            <w:pPr>
              <w:spacing w:line="240" w:lineRule="auto"/>
              <w:jc w:val="left"/>
              <w:rPr>
                <w:rFonts w:ascii="Arial" w:hAnsi="Arial" w:eastAsia="Arial" w:cs="Arial"/>
                <w:sz w:val="21"/>
                <w:szCs w:val="21"/>
              </w:rPr>
            </w:pPr>
          </w:p>
        </w:tc>
        <w:tc>
          <w:tcPr>
            <w:tcW w:w="680" w:type="dxa"/>
            <w:vMerge w:val="continue"/>
            <w:tcBorders>
              <w:top w:val="nil"/>
            </w:tcBorders>
            <w:vAlign w:val="top"/>
          </w:tcPr>
          <w:p>
            <w:pPr>
              <w:spacing w:line="240" w:lineRule="auto"/>
              <w:jc w:val="left"/>
              <w:rPr>
                <w:rFonts w:ascii="Arial" w:hAnsi="Arial" w:eastAsia="Arial" w:cs="Arial"/>
                <w:sz w:val="21"/>
                <w:szCs w:val="21"/>
              </w:rPr>
            </w:pPr>
          </w:p>
        </w:tc>
        <w:tc>
          <w:tcPr>
            <w:tcW w:w="1129" w:type="dxa"/>
            <w:vAlign w:val="top"/>
          </w:tcPr>
          <w:p>
            <w:pPr>
              <w:spacing w:line="240" w:lineRule="auto"/>
              <w:jc w:val="left"/>
              <w:rPr>
                <w:rFonts w:ascii="Arial" w:hAnsi="Arial" w:eastAsia="Arial" w:cs="Arial"/>
                <w:sz w:val="21"/>
                <w:szCs w:val="21"/>
              </w:rPr>
            </w:pPr>
          </w:p>
          <w:p>
            <w:pPr>
              <w:spacing w:before="255" w:line="238" w:lineRule="auto"/>
              <w:ind w:left="36" w:right="6" w:hanging="10"/>
              <w:jc w:val="left"/>
              <w:rPr>
                <w:rFonts w:ascii="仿宋" w:hAnsi="仿宋" w:eastAsia="仿宋" w:cs="仿宋"/>
                <w:sz w:val="21"/>
                <w:szCs w:val="21"/>
              </w:rPr>
            </w:pPr>
            <w:r>
              <w:rPr>
                <w:rFonts w:ascii="仿宋" w:hAnsi="仿宋" w:eastAsia="仿宋" w:cs="仿宋"/>
                <w:spacing w:val="7"/>
                <w:sz w:val="21"/>
                <w:szCs w:val="21"/>
              </w:rPr>
              <w:t>资金拨付及</w:t>
            </w:r>
            <w:r>
              <w:rPr>
                <w:rFonts w:ascii="仿宋" w:hAnsi="仿宋" w:eastAsia="仿宋" w:cs="仿宋"/>
                <w:spacing w:val="-82"/>
                <w:sz w:val="21"/>
                <w:szCs w:val="21"/>
              </w:rPr>
              <w:t xml:space="preserve"> </w:t>
            </w:r>
            <w:r>
              <w:rPr>
                <w:rFonts w:ascii="仿宋" w:hAnsi="仿宋" w:eastAsia="仿宋" w:cs="仿宋"/>
                <w:spacing w:val="-7"/>
                <w:sz w:val="21"/>
                <w:szCs w:val="21"/>
              </w:rPr>
              <w:t>时性</w:t>
            </w:r>
          </w:p>
        </w:tc>
        <w:tc>
          <w:tcPr>
            <w:tcW w:w="2181" w:type="dxa"/>
            <w:vAlign w:val="top"/>
          </w:tcPr>
          <w:p>
            <w:pPr>
              <w:spacing w:line="240" w:lineRule="auto"/>
              <w:jc w:val="left"/>
              <w:rPr>
                <w:rFonts w:ascii="Arial" w:hAnsi="Arial" w:eastAsia="Arial" w:cs="Arial"/>
                <w:sz w:val="21"/>
                <w:szCs w:val="21"/>
              </w:rPr>
            </w:pPr>
          </w:p>
          <w:p>
            <w:pPr>
              <w:spacing w:before="255" w:line="238" w:lineRule="auto"/>
              <w:ind w:left="18" w:right="7" w:hanging="2"/>
              <w:jc w:val="left"/>
              <w:rPr>
                <w:rFonts w:ascii="仿宋" w:hAnsi="仿宋" w:eastAsia="仿宋" w:cs="仿宋"/>
                <w:sz w:val="21"/>
                <w:szCs w:val="21"/>
              </w:rPr>
            </w:pPr>
            <w:r>
              <w:rPr>
                <w:rFonts w:ascii="仿宋" w:hAnsi="仿宋" w:eastAsia="仿宋" w:cs="仿宋"/>
                <w:spacing w:val="1"/>
                <w:sz w:val="21"/>
                <w:szCs w:val="21"/>
              </w:rPr>
              <w:t>按照规定时间拨付资金即</w:t>
            </w:r>
            <w:r>
              <w:rPr>
                <w:rFonts w:ascii="仿宋" w:hAnsi="仿宋" w:eastAsia="仿宋" w:cs="仿宋"/>
                <w:spacing w:val="-78"/>
                <w:sz w:val="21"/>
                <w:szCs w:val="21"/>
              </w:rPr>
              <w:t xml:space="preserve"> </w:t>
            </w:r>
            <w:r>
              <w:rPr>
                <w:rFonts w:ascii="仿宋" w:hAnsi="仿宋" w:eastAsia="仿宋" w:cs="仿宋"/>
                <w:spacing w:val="-2"/>
                <w:sz w:val="21"/>
                <w:szCs w:val="21"/>
              </w:rPr>
              <w:t>得满分</w:t>
            </w:r>
          </w:p>
        </w:tc>
        <w:tc>
          <w:tcPr>
            <w:tcW w:w="1909" w:type="dxa"/>
            <w:vAlign w:val="top"/>
          </w:tcPr>
          <w:p>
            <w:pPr>
              <w:spacing w:before="87" w:line="239" w:lineRule="auto"/>
              <w:ind w:left="17" w:right="8" w:hanging="5"/>
              <w:jc w:val="left"/>
              <w:rPr>
                <w:rFonts w:ascii="仿宋" w:hAnsi="仿宋" w:eastAsia="仿宋" w:cs="仿宋"/>
                <w:sz w:val="21"/>
                <w:szCs w:val="21"/>
              </w:rPr>
            </w:pPr>
            <w:r>
              <w:rPr>
                <w:rFonts w:ascii="仿宋" w:hAnsi="仿宋" w:eastAsia="仿宋" w:cs="仿宋"/>
                <w:spacing w:val="2"/>
                <w:sz w:val="21"/>
                <w:szCs w:val="21"/>
              </w:rPr>
              <w:t>该指标主要考核实</w:t>
            </w:r>
            <w:r>
              <w:rPr>
                <w:rFonts w:ascii="仿宋" w:hAnsi="仿宋" w:eastAsia="仿宋" w:cs="仿宋"/>
                <w:spacing w:val="-81"/>
                <w:sz w:val="21"/>
                <w:szCs w:val="21"/>
              </w:rPr>
              <w:t xml:space="preserve"> </w:t>
            </w:r>
            <w:r>
              <w:rPr>
                <w:rFonts w:ascii="仿宋" w:hAnsi="仿宋" w:eastAsia="仿宋" w:cs="仿宋"/>
                <w:spacing w:val="1"/>
                <w:sz w:val="21"/>
                <w:szCs w:val="21"/>
              </w:rPr>
              <w:t>际补贴的企业或项</w:t>
            </w:r>
            <w:r>
              <w:rPr>
                <w:rFonts w:ascii="仿宋" w:hAnsi="仿宋" w:eastAsia="仿宋" w:cs="仿宋"/>
                <w:spacing w:val="-79"/>
                <w:sz w:val="21"/>
                <w:szCs w:val="21"/>
              </w:rPr>
              <w:t xml:space="preserve"> </w:t>
            </w:r>
            <w:r>
              <w:rPr>
                <w:rFonts w:ascii="仿宋" w:hAnsi="仿宋" w:eastAsia="仿宋" w:cs="仿宋"/>
                <w:spacing w:val="1"/>
                <w:sz w:val="21"/>
                <w:szCs w:val="21"/>
              </w:rPr>
              <w:t>目资金发放的及时</w:t>
            </w:r>
            <w:r>
              <w:rPr>
                <w:rFonts w:ascii="仿宋" w:hAnsi="仿宋" w:eastAsia="仿宋" w:cs="仿宋"/>
                <w:spacing w:val="-79"/>
                <w:sz w:val="21"/>
                <w:szCs w:val="21"/>
              </w:rPr>
              <w:t xml:space="preserve"> </w:t>
            </w:r>
            <w:r>
              <w:rPr>
                <w:rFonts w:ascii="仿宋" w:hAnsi="仿宋" w:eastAsia="仿宋" w:cs="仿宋"/>
                <w:spacing w:val="1"/>
                <w:sz w:val="21"/>
                <w:szCs w:val="21"/>
              </w:rPr>
              <w:t>性及下发给各区县</w:t>
            </w:r>
            <w:r>
              <w:rPr>
                <w:rFonts w:ascii="仿宋" w:hAnsi="仿宋" w:eastAsia="仿宋" w:cs="仿宋"/>
                <w:spacing w:val="-79"/>
                <w:sz w:val="21"/>
                <w:szCs w:val="21"/>
              </w:rPr>
              <w:t xml:space="preserve"> </w:t>
            </w:r>
            <w:r>
              <w:rPr>
                <w:rFonts w:ascii="仿宋" w:hAnsi="仿宋" w:eastAsia="仿宋" w:cs="仿宋"/>
                <w:spacing w:val="-2"/>
                <w:sz w:val="21"/>
                <w:szCs w:val="21"/>
              </w:rPr>
              <w:t>资金的发放及时性</w:t>
            </w:r>
          </w:p>
        </w:tc>
        <w:tc>
          <w:tcPr>
            <w:tcW w:w="469" w:type="dxa"/>
            <w:vAlign w:val="top"/>
          </w:tcPr>
          <w:p>
            <w:pPr>
              <w:spacing w:line="240" w:lineRule="auto"/>
              <w:jc w:val="left"/>
              <w:rPr>
                <w:rFonts w:ascii="Arial" w:hAnsi="Arial" w:eastAsia="Arial" w:cs="Arial"/>
                <w:sz w:val="21"/>
                <w:szCs w:val="21"/>
              </w:rPr>
            </w:pPr>
          </w:p>
        </w:tc>
        <w:tc>
          <w:tcPr>
            <w:tcW w:w="661"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46" w:line="204" w:lineRule="auto"/>
              <w:ind w:firstLine="118"/>
              <w:jc w:val="left"/>
              <w:rPr>
                <w:rFonts w:ascii="仿宋" w:hAnsi="仿宋" w:eastAsia="仿宋" w:cs="仿宋"/>
                <w:sz w:val="21"/>
                <w:szCs w:val="21"/>
              </w:rPr>
            </w:pPr>
            <w:r>
              <w:rPr>
                <w:rFonts w:ascii="仿宋" w:hAnsi="仿宋" w:eastAsia="仿宋" w:cs="仿宋"/>
                <w:spacing w:val="-1"/>
                <w:sz w:val="21"/>
                <w:szCs w:val="21"/>
              </w:rPr>
              <w:t>及时</w:t>
            </w:r>
          </w:p>
        </w:tc>
        <w:tc>
          <w:tcPr>
            <w:tcW w:w="488" w:type="dxa"/>
            <w:vAlign w:val="top"/>
          </w:tcPr>
          <w:p>
            <w:pPr>
              <w:spacing w:line="240" w:lineRule="auto"/>
              <w:jc w:val="left"/>
              <w:rPr>
                <w:rFonts w:ascii="Arial" w:hAnsi="Arial" w:eastAsia="Arial" w:cs="Arial"/>
                <w:sz w:val="21"/>
                <w:szCs w:val="21"/>
              </w:rPr>
            </w:pPr>
          </w:p>
        </w:tc>
        <w:tc>
          <w:tcPr>
            <w:tcW w:w="968" w:type="dxa"/>
            <w:vAlign w:val="top"/>
          </w:tcPr>
          <w:p>
            <w:pPr>
              <w:spacing w:line="240" w:lineRule="auto"/>
              <w:jc w:val="left"/>
              <w:rPr>
                <w:rFonts w:ascii="Arial" w:hAnsi="Arial" w:eastAsia="Arial" w:cs="Arial"/>
                <w:sz w:val="21"/>
                <w:szCs w:val="21"/>
              </w:rPr>
            </w:pPr>
          </w:p>
          <w:p>
            <w:pPr>
              <w:spacing w:before="255" w:line="238" w:lineRule="auto"/>
              <w:ind w:left="26" w:right="7" w:hanging="11"/>
              <w:jc w:val="left"/>
              <w:rPr>
                <w:rFonts w:ascii="仿宋" w:hAnsi="仿宋" w:eastAsia="仿宋" w:cs="仿宋"/>
                <w:sz w:val="21"/>
                <w:szCs w:val="21"/>
              </w:rPr>
            </w:pPr>
            <w:r>
              <w:rPr>
                <w:rFonts w:ascii="仿宋" w:hAnsi="仿宋" w:eastAsia="仿宋" w:cs="仿宋"/>
                <w:spacing w:val="-10"/>
                <w:sz w:val="21"/>
                <w:szCs w:val="21"/>
              </w:rPr>
              <w:t>年</w:t>
            </w:r>
            <w:r>
              <w:rPr>
                <w:rFonts w:ascii="仿宋" w:hAnsi="仿宋" w:eastAsia="仿宋" w:cs="仿宋"/>
                <w:spacing w:val="-62"/>
                <w:sz w:val="21"/>
                <w:szCs w:val="21"/>
              </w:rPr>
              <w:t xml:space="preserve"> </w:t>
            </w:r>
            <w:r>
              <w:rPr>
                <w:rFonts w:ascii="仿宋" w:hAnsi="仿宋" w:eastAsia="仿宋" w:cs="仿宋"/>
                <w:spacing w:val="-10"/>
                <w:sz w:val="21"/>
                <w:szCs w:val="21"/>
              </w:rPr>
              <w:t>度</w:t>
            </w:r>
            <w:r>
              <w:rPr>
                <w:rFonts w:ascii="仿宋" w:hAnsi="仿宋" w:eastAsia="仿宋" w:cs="仿宋"/>
                <w:spacing w:val="-56"/>
                <w:sz w:val="21"/>
                <w:szCs w:val="21"/>
              </w:rPr>
              <w:t xml:space="preserve"> </w:t>
            </w:r>
            <w:r>
              <w:rPr>
                <w:rFonts w:ascii="仿宋" w:hAnsi="仿宋" w:eastAsia="仿宋" w:cs="仿宋"/>
                <w:spacing w:val="-10"/>
                <w:sz w:val="21"/>
                <w:szCs w:val="21"/>
              </w:rPr>
              <w:t>工</w:t>
            </w:r>
            <w:r>
              <w:rPr>
                <w:rFonts w:ascii="仿宋" w:hAnsi="仿宋" w:eastAsia="仿宋" w:cs="仿宋"/>
                <w:spacing w:val="-61"/>
                <w:sz w:val="21"/>
                <w:szCs w:val="21"/>
              </w:rPr>
              <w:t xml:space="preserve"> </w:t>
            </w:r>
            <w:r>
              <w:rPr>
                <w:rFonts w:ascii="仿宋" w:hAnsi="仿宋" w:eastAsia="仿宋" w:cs="仿宋"/>
                <w:spacing w:val="-10"/>
                <w:sz w:val="21"/>
                <w:szCs w:val="21"/>
              </w:rPr>
              <w:t>作</w:t>
            </w:r>
            <w:r>
              <w:rPr>
                <w:rFonts w:ascii="仿宋" w:hAnsi="仿宋" w:eastAsia="仿宋" w:cs="仿宋"/>
                <w:spacing w:val="-85"/>
                <w:sz w:val="21"/>
                <w:szCs w:val="21"/>
              </w:rPr>
              <w:t xml:space="preserve"> </w:t>
            </w:r>
            <w:r>
              <w:rPr>
                <w:rFonts w:ascii="仿宋" w:hAnsi="仿宋" w:eastAsia="仿宋" w:cs="仿宋"/>
                <w:spacing w:val="-5"/>
                <w:sz w:val="21"/>
                <w:szCs w:val="21"/>
              </w:rPr>
              <w:t>总结</w:t>
            </w:r>
          </w:p>
        </w:tc>
      </w:tr>
    </w:tbl>
    <w:p>
      <w:pPr>
        <w:spacing w:line="240" w:lineRule="auto"/>
        <w:jc w:val="left"/>
        <w:rPr>
          <w:rFonts w:ascii="Arial" w:hAnsi="Arial" w:eastAsia="Arial" w:cs="Arial"/>
          <w:sz w:val="21"/>
          <w:szCs w:val="21"/>
        </w:rPr>
      </w:pPr>
    </w:p>
    <w:p>
      <w:pPr>
        <w:spacing w:line="240" w:lineRule="auto"/>
        <w:jc w:val="left"/>
      </w:pPr>
    </w:p>
    <w:p>
      <w:pPr>
        <w:spacing w:line="240" w:lineRule="auto"/>
        <w:jc w:val="left"/>
      </w:pPr>
    </w:p>
    <w:p>
      <w:pPr>
        <w:spacing w:line="240" w:lineRule="auto"/>
        <w:jc w:val="left"/>
      </w:pPr>
    </w:p>
    <w:p>
      <w:pPr>
        <w:spacing w:line="28" w:lineRule="exact"/>
        <w:jc w:val="left"/>
      </w:pPr>
    </w:p>
    <w:tbl>
      <w:tblPr>
        <w:tblStyle w:val="20"/>
        <w:tblW w:w="9069"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4"/>
        <w:gridCol w:w="680"/>
        <w:gridCol w:w="1129"/>
        <w:gridCol w:w="2361"/>
        <w:gridCol w:w="1729"/>
        <w:gridCol w:w="469"/>
        <w:gridCol w:w="661"/>
        <w:gridCol w:w="488"/>
        <w:gridCol w:w="96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3" w:hRule="atLeast"/>
        </w:trPr>
        <w:tc>
          <w:tcPr>
            <w:tcW w:w="584" w:type="dxa"/>
            <w:vMerge w:val="restart"/>
            <w:tcBorders>
              <w:bottom w:val="nil"/>
            </w:tcBorders>
            <w:vAlign w:val="top"/>
          </w:tcPr>
          <w:p>
            <w:pPr>
              <w:spacing w:before="37" w:line="212" w:lineRule="auto"/>
              <w:ind w:left="88" w:right="74" w:firstLine="4"/>
              <w:jc w:val="left"/>
              <w:rPr>
                <w:rFonts w:ascii="黑体" w:hAnsi="黑体" w:eastAsia="黑体" w:cs="黑体"/>
                <w:sz w:val="21"/>
                <w:szCs w:val="21"/>
              </w:rPr>
            </w:pPr>
            <w:r>
              <w:rPr>
                <w:rFonts w:ascii="黑体" w:hAnsi="黑体" w:eastAsia="黑体" w:cs="黑体"/>
                <w:spacing w:val="-7"/>
                <w:sz w:val="21"/>
                <w:szCs w:val="21"/>
              </w:rPr>
              <w:t>一级</w:t>
            </w:r>
            <w:r>
              <w:rPr>
                <w:rFonts w:ascii="黑体" w:hAnsi="黑体" w:eastAsia="黑体" w:cs="黑体"/>
                <w:spacing w:val="-84"/>
                <w:sz w:val="21"/>
                <w:szCs w:val="21"/>
              </w:rPr>
              <w:t xml:space="preserve"> </w:t>
            </w:r>
            <w:r>
              <w:rPr>
                <w:rFonts w:ascii="黑体" w:hAnsi="黑体" w:eastAsia="黑体" w:cs="黑体"/>
                <w:spacing w:val="-4"/>
                <w:sz w:val="21"/>
                <w:szCs w:val="21"/>
              </w:rPr>
              <w:t>指标</w:t>
            </w:r>
          </w:p>
        </w:tc>
        <w:tc>
          <w:tcPr>
            <w:tcW w:w="680" w:type="dxa"/>
            <w:vMerge w:val="restart"/>
            <w:tcBorders>
              <w:bottom w:val="nil"/>
            </w:tcBorders>
            <w:vAlign w:val="top"/>
          </w:tcPr>
          <w:p>
            <w:pPr>
              <w:spacing w:before="37" w:line="212" w:lineRule="auto"/>
              <w:ind w:left="136" w:right="122" w:firstLine="4"/>
              <w:jc w:val="left"/>
              <w:rPr>
                <w:rFonts w:ascii="黑体" w:hAnsi="黑体" w:eastAsia="黑体" w:cs="黑体"/>
                <w:sz w:val="21"/>
                <w:szCs w:val="21"/>
              </w:rPr>
            </w:pPr>
            <w:r>
              <w:rPr>
                <w:rFonts w:ascii="黑体" w:hAnsi="黑体" w:eastAsia="黑体" w:cs="黑体"/>
                <w:spacing w:val="-6"/>
                <w:sz w:val="21"/>
                <w:szCs w:val="21"/>
              </w:rPr>
              <w:t>二级</w:t>
            </w:r>
            <w:r>
              <w:rPr>
                <w:rFonts w:ascii="黑体" w:hAnsi="黑体" w:eastAsia="黑体" w:cs="黑体"/>
                <w:spacing w:val="-85"/>
                <w:sz w:val="21"/>
                <w:szCs w:val="21"/>
              </w:rPr>
              <w:t xml:space="preserve"> </w:t>
            </w:r>
            <w:r>
              <w:rPr>
                <w:rFonts w:ascii="黑体" w:hAnsi="黑体" w:eastAsia="黑体" w:cs="黑体"/>
                <w:spacing w:val="-4"/>
                <w:sz w:val="21"/>
                <w:szCs w:val="21"/>
              </w:rPr>
              <w:t>指标</w:t>
            </w:r>
          </w:p>
        </w:tc>
        <w:tc>
          <w:tcPr>
            <w:tcW w:w="1129" w:type="dxa"/>
            <w:vMerge w:val="restart"/>
            <w:tcBorders>
              <w:bottom w:val="nil"/>
            </w:tcBorders>
            <w:vAlign w:val="top"/>
          </w:tcPr>
          <w:p>
            <w:pPr>
              <w:spacing w:before="37" w:line="238" w:lineRule="auto"/>
              <w:ind w:firstLine="365"/>
              <w:jc w:val="left"/>
              <w:rPr>
                <w:rFonts w:ascii="黑体" w:hAnsi="黑体" w:eastAsia="黑体" w:cs="黑体"/>
                <w:sz w:val="21"/>
                <w:szCs w:val="21"/>
              </w:rPr>
            </w:pPr>
            <w:r>
              <w:rPr>
                <w:rFonts w:ascii="黑体" w:hAnsi="黑体" w:eastAsia="黑体" w:cs="黑体"/>
                <w:spacing w:val="-4"/>
                <w:sz w:val="21"/>
                <w:szCs w:val="21"/>
              </w:rPr>
              <w:t>三级</w:t>
            </w:r>
          </w:p>
          <w:p>
            <w:pPr>
              <w:spacing w:line="204" w:lineRule="auto"/>
              <w:ind w:firstLine="359"/>
              <w:jc w:val="left"/>
              <w:rPr>
                <w:rFonts w:ascii="黑体" w:hAnsi="黑体" w:eastAsia="黑体" w:cs="黑体"/>
                <w:sz w:val="21"/>
                <w:szCs w:val="21"/>
              </w:rPr>
            </w:pPr>
            <w:r>
              <w:rPr>
                <w:rFonts w:ascii="黑体" w:hAnsi="黑体" w:eastAsia="黑体" w:cs="黑体"/>
                <w:spacing w:val="-2"/>
                <w:sz w:val="21"/>
                <w:szCs w:val="21"/>
              </w:rPr>
              <w:t>指标</w:t>
            </w:r>
          </w:p>
        </w:tc>
        <w:tc>
          <w:tcPr>
            <w:tcW w:w="2361" w:type="dxa"/>
            <w:vMerge w:val="restart"/>
            <w:tcBorders>
              <w:bottom w:val="nil"/>
            </w:tcBorders>
            <w:vAlign w:val="top"/>
          </w:tcPr>
          <w:p>
            <w:pPr>
              <w:spacing w:before="173" w:line="204" w:lineRule="auto"/>
              <w:ind w:firstLine="449"/>
              <w:jc w:val="left"/>
              <w:rPr>
                <w:rFonts w:ascii="黑体" w:hAnsi="黑体" w:eastAsia="黑体" w:cs="黑体"/>
                <w:sz w:val="21"/>
                <w:szCs w:val="21"/>
              </w:rPr>
            </w:pPr>
            <w:r>
              <w:rPr>
                <w:rFonts w:ascii="黑体" w:hAnsi="黑体" w:eastAsia="黑体" w:cs="黑体"/>
                <w:spacing w:val="-2"/>
                <w:sz w:val="21"/>
                <w:szCs w:val="21"/>
              </w:rPr>
              <w:t>评（扣）分标准</w:t>
            </w:r>
          </w:p>
        </w:tc>
        <w:tc>
          <w:tcPr>
            <w:tcW w:w="1729" w:type="dxa"/>
            <w:vMerge w:val="restart"/>
            <w:tcBorders>
              <w:bottom w:val="nil"/>
            </w:tcBorders>
            <w:vAlign w:val="top"/>
          </w:tcPr>
          <w:p>
            <w:pPr>
              <w:spacing w:before="36" w:line="204" w:lineRule="auto"/>
              <w:ind w:firstLine="449"/>
              <w:jc w:val="left"/>
              <w:rPr>
                <w:rFonts w:ascii="黑体" w:hAnsi="黑体" w:eastAsia="黑体" w:cs="黑体"/>
                <w:sz w:val="21"/>
                <w:szCs w:val="21"/>
              </w:rPr>
            </w:pPr>
            <w:r>
              <w:rPr>
                <w:rFonts w:ascii="黑体" w:hAnsi="黑体" w:eastAsia="黑体" w:cs="黑体"/>
                <w:spacing w:val="-3"/>
                <w:sz w:val="21"/>
                <w:szCs w:val="21"/>
              </w:rPr>
              <w:t>绩效指标</w:t>
            </w:r>
          </w:p>
          <w:p>
            <w:pPr>
              <w:spacing w:before="39" w:line="204" w:lineRule="auto"/>
              <w:ind w:firstLine="658"/>
              <w:jc w:val="left"/>
              <w:rPr>
                <w:rFonts w:ascii="黑体" w:hAnsi="黑体" w:eastAsia="黑体" w:cs="黑体"/>
                <w:sz w:val="21"/>
                <w:szCs w:val="21"/>
              </w:rPr>
            </w:pPr>
            <w:r>
              <w:rPr>
                <w:rFonts w:ascii="黑体" w:hAnsi="黑体" w:eastAsia="黑体" w:cs="黑体"/>
                <w:spacing w:val="-2"/>
                <w:sz w:val="21"/>
                <w:szCs w:val="21"/>
              </w:rPr>
              <w:t>描述</w:t>
            </w:r>
          </w:p>
        </w:tc>
        <w:tc>
          <w:tcPr>
            <w:tcW w:w="1618" w:type="dxa"/>
            <w:gridSpan w:val="3"/>
            <w:vAlign w:val="top"/>
          </w:tcPr>
          <w:p>
            <w:pPr>
              <w:spacing w:before="31" w:line="204" w:lineRule="auto"/>
              <w:ind w:firstLine="497"/>
              <w:jc w:val="left"/>
              <w:rPr>
                <w:rFonts w:ascii="黑体" w:hAnsi="黑体" w:eastAsia="黑体" w:cs="黑体"/>
                <w:sz w:val="21"/>
                <w:szCs w:val="21"/>
              </w:rPr>
            </w:pPr>
            <w:r>
              <w:rPr>
                <w:rFonts w:ascii="黑体" w:hAnsi="黑体" w:eastAsia="黑体" w:cs="黑体"/>
                <w:spacing w:val="-2"/>
                <w:sz w:val="21"/>
                <w:szCs w:val="21"/>
              </w:rPr>
              <w:t>指标值</w:t>
            </w:r>
          </w:p>
        </w:tc>
        <w:tc>
          <w:tcPr>
            <w:tcW w:w="968" w:type="dxa"/>
            <w:vMerge w:val="restart"/>
            <w:tcBorders>
              <w:bottom w:val="nil"/>
            </w:tcBorders>
            <w:vAlign w:val="top"/>
          </w:tcPr>
          <w:p>
            <w:pPr>
              <w:spacing w:before="37" w:line="212" w:lineRule="auto"/>
              <w:ind w:left="65" w:right="59" w:firstLine="105"/>
              <w:jc w:val="left"/>
              <w:rPr>
                <w:rFonts w:ascii="黑体" w:hAnsi="黑体" w:eastAsia="黑体" w:cs="黑体"/>
                <w:sz w:val="21"/>
                <w:szCs w:val="21"/>
              </w:rPr>
            </w:pPr>
            <w:r>
              <w:rPr>
                <w:rFonts w:ascii="黑体" w:hAnsi="黑体" w:eastAsia="黑体" w:cs="黑体"/>
                <w:spacing w:val="-3"/>
                <w:sz w:val="21"/>
                <w:szCs w:val="21"/>
              </w:rPr>
              <w:t>指标值</w:t>
            </w:r>
            <w:r>
              <w:rPr>
                <w:rFonts w:ascii="黑体" w:hAnsi="黑体" w:eastAsia="黑体" w:cs="黑体"/>
                <w:spacing w:val="23"/>
                <w:sz w:val="21"/>
                <w:szCs w:val="21"/>
              </w:rPr>
              <w:t xml:space="preserve"> </w:t>
            </w:r>
            <w:r>
              <w:rPr>
                <w:rFonts w:ascii="黑体" w:hAnsi="黑体" w:eastAsia="黑体" w:cs="黑体"/>
                <w:spacing w:val="-2"/>
                <w:sz w:val="21"/>
                <w:szCs w:val="21"/>
              </w:rPr>
              <w:t>确定依据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5" w:hRule="atLeast"/>
        </w:trPr>
        <w:tc>
          <w:tcPr>
            <w:tcW w:w="584" w:type="dxa"/>
            <w:vMerge w:val="continue"/>
            <w:tcBorders>
              <w:top w:val="nil"/>
            </w:tcBorders>
            <w:vAlign w:val="top"/>
          </w:tcPr>
          <w:p>
            <w:pPr>
              <w:spacing w:line="240" w:lineRule="auto"/>
              <w:jc w:val="left"/>
              <w:rPr>
                <w:rFonts w:ascii="Arial" w:hAnsi="Arial" w:eastAsia="Arial" w:cs="Arial"/>
                <w:sz w:val="21"/>
                <w:szCs w:val="21"/>
              </w:rPr>
            </w:pPr>
          </w:p>
        </w:tc>
        <w:tc>
          <w:tcPr>
            <w:tcW w:w="680" w:type="dxa"/>
            <w:vMerge w:val="continue"/>
            <w:tcBorders>
              <w:top w:val="nil"/>
            </w:tcBorders>
            <w:vAlign w:val="top"/>
          </w:tcPr>
          <w:p>
            <w:pPr>
              <w:spacing w:line="240" w:lineRule="auto"/>
              <w:jc w:val="left"/>
              <w:rPr>
                <w:rFonts w:ascii="Arial" w:hAnsi="Arial" w:eastAsia="Arial" w:cs="Arial"/>
                <w:sz w:val="21"/>
                <w:szCs w:val="21"/>
              </w:rPr>
            </w:pPr>
          </w:p>
        </w:tc>
        <w:tc>
          <w:tcPr>
            <w:tcW w:w="1129" w:type="dxa"/>
            <w:vMerge w:val="continue"/>
            <w:tcBorders>
              <w:top w:val="nil"/>
            </w:tcBorders>
            <w:vAlign w:val="top"/>
          </w:tcPr>
          <w:p>
            <w:pPr>
              <w:spacing w:line="240" w:lineRule="auto"/>
              <w:jc w:val="left"/>
              <w:rPr>
                <w:rFonts w:ascii="Arial" w:hAnsi="Arial" w:eastAsia="Arial" w:cs="Arial"/>
                <w:sz w:val="21"/>
                <w:szCs w:val="21"/>
              </w:rPr>
            </w:pPr>
          </w:p>
        </w:tc>
        <w:tc>
          <w:tcPr>
            <w:tcW w:w="2361" w:type="dxa"/>
            <w:vMerge w:val="continue"/>
            <w:tcBorders>
              <w:top w:val="nil"/>
            </w:tcBorders>
            <w:vAlign w:val="top"/>
          </w:tcPr>
          <w:p>
            <w:pPr>
              <w:spacing w:line="240" w:lineRule="auto"/>
              <w:jc w:val="left"/>
              <w:rPr>
                <w:rFonts w:ascii="Arial" w:hAnsi="Arial" w:eastAsia="Arial" w:cs="Arial"/>
                <w:sz w:val="21"/>
                <w:szCs w:val="21"/>
              </w:rPr>
            </w:pPr>
          </w:p>
        </w:tc>
        <w:tc>
          <w:tcPr>
            <w:tcW w:w="1729" w:type="dxa"/>
            <w:vMerge w:val="continue"/>
            <w:tcBorders>
              <w:top w:val="nil"/>
            </w:tcBorders>
            <w:vAlign w:val="top"/>
          </w:tcPr>
          <w:p>
            <w:pPr>
              <w:spacing w:line="240" w:lineRule="auto"/>
              <w:jc w:val="left"/>
              <w:rPr>
                <w:rFonts w:ascii="Arial" w:hAnsi="Arial" w:eastAsia="Arial" w:cs="Arial"/>
                <w:sz w:val="21"/>
                <w:szCs w:val="21"/>
              </w:rPr>
            </w:pPr>
          </w:p>
        </w:tc>
        <w:tc>
          <w:tcPr>
            <w:tcW w:w="469" w:type="dxa"/>
            <w:vAlign w:val="top"/>
          </w:tcPr>
          <w:p>
            <w:pPr>
              <w:spacing w:before="33" w:line="204" w:lineRule="auto"/>
              <w:ind w:firstLine="29"/>
              <w:jc w:val="left"/>
              <w:rPr>
                <w:rFonts w:ascii="黑体" w:hAnsi="黑体" w:eastAsia="黑体" w:cs="黑体"/>
                <w:sz w:val="21"/>
                <w:szCs w:val="21"/>
              </w:rPr>
            </w:pPr>
            <w:r>
              <w:rPr>
                <w:rFonts w:ascii="黑体" w:hAnsi="黑体" w:eastAsia="黑体" w:cs="黑体"/>
                <w:spacing w:val="-2"/>
                <w:sz w:val="21"/>
                <w:szCs w:val="21"/>
              </w:rPr>
              <w:t>符号</w:t>
            </w:r>
          </w:p>
        </w:tc>
        <w:tc>
          <w:tcPr>
            <w:tcW w:w="661" w:type="dxa"/>
            <w:vAlign w:val="top"/>
          </w:tcPr>
          <w:p>
            <w:pPr>
              <w:spacing w:before="33" w:line="204" w:lineRule="auto"/>
              <w:ind w:firstLine="227"/>
              <w:jc w:val="left"/>
              <w:rPr>
                <w:rFonts w:ascii="黑体" w:hAnsi="黑体" w:eastAsia="黑体" w:cs="黑体"/>
                <w:sz w:val="21"/>
                <w:szCs w:val="21"/>
              </w:rPr>
            </w:pPr>
            <w:r>
              <w:rPr>
                <w:rFonts w:ascii="黑体" w:hAnsi="黑体" w:eastAsia="黑体" w:cs="黑体"/>
                <w:sz w:val="21"/>
                <w:szCs w:val="21"/>
              </w:rPr>
              <w:t>值</w:t>
            </w:r>
          </w:p>
        </w:tc>
        <w:tc>
          <w:tcPr>
            <w:tcW w:w="488" w:type="dxa"/>
            <w:vAlign w:val="top"/>
          </w:tcPr>
          <w:p>
            <w:pPr>
              <w:spacing w:before="33" w:line="204" w:lineRule="auto"/>
              <w:ind w:firstLine="43"/>
              <w:jc w:val="left"/>
              <w:rPr>
                <w:rFonts w:ascii="黑体" w:hAnsi="黑体" w:eastAsia="黑体" w:cs="黑体"/>
                <w:sz w:val="21"/>
                <w:szCs w:val="21"/>
              </w:rPr>
            </w:pPr>
            <w:r>
              <w:rPr>
                <w:rFonts w:ascii="黑体" w:hAnsi="黑体" w:eastAsia="黑体" w:cs="黑体"/>
                <w:spacing w:val="-3"/>
                <w:sz w:val="21"/>
                <w:szCs w:val="21"/>
              </w:rPr>
              <w:t>单位</w:t>
            </w:r>
          </w:p>
        </w:tc>
        <w:tc>
          <w:tcPr>
            <w:tcW w:w="968" w:type="dxa"/>
            <w:vMerge w:val="continue"/>
            <w:tcBorders>
              <w:top w:val="nil"/>
            </w:tcBorders>
            <w:vAlign w:val="top"/>
          </w:tcPr>
          <w:p>
            <w:pPr>
              <w:spacing w:line="240" w:lineRule="auto"/>
              <w:jc w:val="left"/>
              <w:rPr>
                <w:rFonts w:ascii="Arial" w:hAnsi="Arial" w:eastAsia="Arial" w:cs="Arial"/>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10" w:hRule="atLeast"/>
        </w:trPr>
        <w:tc>
          <w:tcPr>
            <w:tcW w:w="584" w:type="dxa"/>
            <w:vMerge w:val="restart"/>
            <w:tcBorders>
              <w:bottom w:val="nil"/>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98" w:line="238" w:lineRule="auto"/>
              <w:ind w:left="87" w:right="74"/>
              <w:jc w:val="left"/>
              <w:rPr>
                <w:rFonts w:ascii="仿宋" w:hAnsi="仿宋" w:eastAsia="仿宋" w:cs="仿宋"/>
                <w:sz w:val="21"/>
                <w:szCs w:val="21"/>
              </w:rPr>
            </w:pPr>
            <w:r>
              <w:rPr>
                <w:rFonts w:ascii="仿宋" w:hAnsi="仿宋" w:eastAsia="仿宋" w:cs="仿宋"/>
                <w:spacing w:val="-3"/>
                <w:sz w:val="21"/>
                <w:szCs w:val="21"/>
              </w:rPr>
              <w:t>部门</w:t>
            </w:r>
            <w:r>
              <w:rPr>
                <w:rFonts w:ascii="仿宋" w:hAnsi="仿宋" w:eastAsia="仿宋" w:cs="仿宋"/>
                <w:spacing w:val="-85"/>
                <w:sz w:val="21"/>
                <w:szCs w:val="21"/>
              </w:rPr>
              <w:t xml:space="preserve"> </w:t>
            </w:r>
            <w:r>
              <w:rPr>
                <w:rFonts w:ascii="仿宋" w:hAnsi="仿宋" w:eastAsia="仿宋" w:cs="仿宋"/>
                <w:spacing w:val="-3"/>
                <w:sz w:val="21"/>
                <w:szCs w:val="21"/>
              </w:rPr>
              <w:t>产出</w:t>
            </w:r>
          </w:p>
        </w:tc>
        <w:tc>
          <w:tcPr>
            <w:tcW w:w="680" w:type="dxa"/>
            <w:vMerge w:val="restart"/>
            <w:tcBorders>
              <w:bottom w:val="nil"/>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91" w:line="204" w:lineRule="auto"/>
              <w:ind w:firstLine="139"/>
              <w:jc w:val="left"/>
              <w:rPr>
                <w:rFonts w:ascii="仿宋" w:hAnsi="仿宋" w:eastAsia="仿宋" w:cs="仿宋"/>
                <w:sz w:val="21"/>
                <w:szCs w:val="21"/>
              </w:rPr>
            </w:pPr>
            <w:r>
              <w:rPr>
                <w:rFonts w:ascii="仿宋" w:hAnsi="仿宋" w:eastAsia="仿宋" w:cs="仿宋"/>
                <w:spacing w:val="-3"/>
                <w:sz w:val="21"/>
                <w:szCs w:val="21"/>
              </w:rPr>
              <w:t>成本</w:t>
            </w:r>
          </w:p>
        </w:tc>
        <w:tc>
          <w:tcPr>
            <w:tcW w:w="112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31" w:line="238" w:lineRule="auto"/>
              <w:ind w:left="23" w:right="6" w:hanging="7"/>
              <w:jc w:val="left"/>
              <w:rPr>
                <w:rFonts w:ascii="仿宋" w:hAnsi="仿宋" w:eastAsia="仿宋" w:cs="仿宋"/>
                <w:sz w:val="21"/>
                <w:szCs w:val="21"/>
              </w:rPr>
            </w:pPr>
            <w:r>
              <w:rPr>
                <w:rFonts w:ascii="仿宋" w:hAnsi="仿宋" w:eastAsia="仿宋" w:cs="仿宋"/>
                <w:spacing w:val="9"/>
                <w:sz w:val="21"/>
                <w:szCs w:val="21"/>
              </w:rPr>
              <w:t>公用经费控</w:t>
            </w:r>
            <w:r>
              <w:rPr>
                <w:rFonts w:ascii="仿宋" w:hAnsi="仿宋" w:eastAsia="仿宋" w:cs="仿宋"/>
                <w:spacing w:val="-82"/>
                <w:sz w:val="21"/>
                <w:szCs w:val="21"/>
              </w:rPr>
              <w:t xml:space="preserve"> </w:t>
            </w:r>
            <w:r>
              <w:rPr>
                <w:rFonts w:ascii="仿宋" w:hAnsi="仿宋" w:eastAsia="仿宋" w:cs="仿宋"/>
                <w:spacing w:val="-4"/>
                <w:sz w:val="21"/>
                <w:szCs w:val="21"/>
              </w:rPr>
              <w:t>制率</w:t>
            </w:r>
          </w:p>
        </w:tc>
        <w:tc>
          <w:tcPr>
            <w:tcW w:w="2361" w:type="dxa"/>
            <w:vAlign w:val="top"/>
          </w:tcPr>
          <w:p>
            <w:pPr>
              <w:spacing w:before="30" w:line="232" w:lineRule="auto"/>
              <w:ind w:left="19" w:right="5" w:firstLine="115"/>
              <w:jc w:val="left"/>
              <w:rPr>
                <w:rFonts w:ascii="仿宋" w:hAnsi="仿宋" w:eastAsia="仿宋" w:cs="仿宋"/>
                <w:sz w:val="21"/>
                <w:szCs w:val="21"/>
              </w:rPr>
            </w:pPr>
            <w:r>
              <w:rPr>
                <w:rFonts w:ascii="仿宋" w:hAnsi="仿宋" w:eastAsia="仿宋" w:cs="仿宋"/>
                <w:spacing w:val="-9"/>
                <w:sz w:val="21"/>
                <w:szCs w:val="21"/>
              </w:rPr>
              <w:t>“三公”经费实际支出数</w:t>
            </w:r>
            <w:r>
              <w:rPr>
                <w:rFonts w:ascii="仿宋" w:hAnsi="仿宋" w:eastAsia="仿宋" w:cs="仿宋"/>
                <w:spacing w:val="-84"/>
                <w:sz w:val="21"/>
                <w:szCs w:val="21"/>
              </w:rPr>
              <w:t xml:space="preserve"> </w:t>
            </w:r>
            <w:r>
              <w:rPr>
                <w:rFonts w:ascii="仿宋" w:hAnsi="仿宋" w:eastAsia="仿宋" w:cs="仿宋"/>
                <w:spacing w:val="22"/>
                <w:sz w:val="21"/>
                <w:szCs w:val="21"/>
              </w:rPr>
              <w:t>≤预算安排的三公经费</w:t>
            </w:r>
            <w:r>
              <w:rPr>
                <w:rFonts w:ascii="仿宋" w:hAnsi="仿宋" w:eastAsia="仿宋" w:cs="仿宋"/>
                <w:spacing w:val="-78"/>
                <w:sz w:val="21"/>
                <w:szCs w:val="21"/>
              </w:rPr>
              <w:t xml:space="preserve"> </w:t>
            </w:r>
            <w:r>
              <w:rPr>
                <w:rFonts w:ascii="仿宋" w:hAnsi="仿宋" w:eastAsia="仿宋" w:cs="仿宋"/>
                <w:spacing w:val="-4"/>
                <w:sz w:val="21"/>
                <w:szCs w:val="21"/>
              </w:rPr>
              <w:t>数，</w:t>
            </w:r>
            <w:r>
              <w:rPr>
                <w:rFonts w:ascii="仿宋" w:hAnsi="仿宋" w:eastAsia="仿宋" w:cs="仿宋"/>
                <w:spacing w:val="-91"/>
                <w:sz w:val="21"/>
                <w:szCs w:val="21"/>
              </w:rPr>
              <w:t xml:space="preserve"> </w:t>
            </w:r>
            <w:r>
              <w:rPr>
                <w:rFonts w:ascii="仿宋" w:hAnsi="仿宋" w:eastAsia="仿宋" w:cs="仿宋"/>
                <w:spacing w:val="-4"/>
                <w:sz w:val="21"/>
                <w:szCs w:val="21"/>
              </w:rPr>
              <w:t>得</w:t>
            </w:r>
            <w:r>
              <w:rPr>
                <w:rFonts w:ascii="仿宋" w:hAnsi="仿宋" w:eastAsia="仿宋" w:cs="仿宋"/>
                <w:spacing w:val="-33"/>
                <w:sz w:val="21"/>
                <w:szCs w:val="21"/>
              </w:rPr>
              <w:t xml:space="preserve"> </w:t>
            </w:r>
            <w:r>
              <w:rPr>
                <w:rFonts w:ascii="Times New Roman" w:hAnsi="Times New Roman" w:eastAsia="Times New Roman" w:cs="Times New Roman"/>
                <w:spacing w:val="-4"/>
                <w:sz w:val="21"/>
                <w:szCs w:val="21"/>
              </w:rPr>
              <w:t>50%</w:t>
            </w:r>
            <w:r>
              <w:rPr>
                <w:rFonts w:ascii="仿宋" w:hAnsi="仿宋" w:eastAsia="仿宋" w:cs="仿宋"/>
                <w:spacing w:val="-4"/>
                <w:sz w:val="21"/>
                <w:szCs w:val="21"/>
              </w:rPr>
              <w:t>权重分，</w:t>
            </w:r>
            <w:r>
              <w:rPr>
                <w:rFonts w:ascii="仿宋" w:hAnsi="仿宋" w:eastAsia="仿宋" w:cs="仿宋"/>
                <w:spacing w:val="-91"/>
                <w:sz w:val="21"/>
                <w:szCs w:val="21"/>
              </w:rPr>
              <w:t xml:space="preserve"> </w:t>
            </w:r>
            <w:r>
              <w:rPr>
                <w:rFonts w:ascii="仿宋" w:hAnsi="仿宋" w:eastAsia="仿宋" w:cs="仿宋"/>
                <w:spacing w:val="-4"/>
                <w:sz w:val="21"/>
                <w:szCs w:val="21"/>
              </w:rPr>
              <w:t>否则</w:t>
            </w:r>
            <w:r>
              <w:rPr>
                <w:rFonts w:ascii="仿宋" w:hAnsi="仿宋" w:eastAsia="仿宋" w:cs="仿宋"/>
                <w:spacing w:val="-85"/>
                <w:sz w:val="21"/>
                <w:szCs w:val="21"/>
              </w:rPr>
              <w:t xml:space="preserve"> </w:t>
            </w:r>
            <w:r>
              <w:rPr>
                <w:rFonts w:ascii="仿宋" w:hAnsi="仿宋" w:eastAsia="仿宋" w:cs="仿宋"/>
                <w:spacing w:val="1"/>
                <w:sz w:val="21"/>
                <w:szCs w:val="21"/>
              </w:rPr>
              <w:t>不得分；日常公用经费决</w:t>
            </w:r>
            <w:r>
              <w:rPr>
                <w:rFonts w:ascii="仿宋" w:hAnsi="仿宋" w:eastAsia="仿宋" w:cs="仿宋"/>
                <w:spacing w:val="-79"/>
                <w:sz w:val="21"/>
                <w:szCs w:val="21"/>
              </w:rPr>
              <w:t xml:space="preserve"> </w:t>
            </w:r>
            <w:r>
              <w:rPr>
                <w:rFonts w:ascii="仿宋" w:hAnsi="仿宋" w:eastAsia="仿宋" w:cs="仿宋"/>
                <w:spacing w:val="-9"/>
                <w:sz w:val="21"/>
                <w:szCs w:val="21"/>
              </w:rPr>
              <w:t>算数</w:t>
            </w:r>
            <w:r>
              <w:rPr>
                <w:rFonts w:ascii="仿宋" w:hAnsi="仿宋" w:eastAsia="仿宋" w:cs="仿宋"/>
                <w:spacing w:val="-40"/>
                <w:sz w:val="21"/>
                <w:szCs w:val="21"/>
              </w:rPr>
              <w:t xml:space="preserve"> </w:t>
            </w:r>
            <w:r>
              <w:rPr>
                <w:rFonts w:ascii="仿宋" w:hAnsi="仿宋" w:eastAsia="仿宋" w:cs="仿宋"/>
                <w:spacing w:val="-9"/>
                <w:sz w:val="21"/>
                <w:szCs w:val="21"/>
              </w:rPr>
              <w:t>≤</w:t>
            </w:r>
            <w:r>
              <w:rPr>
                <w:rFonts w:ascii="仿宋" w:hAnsi="仿宋" w:eastAsia="仿宋" w:cs="仿宋"/>
                <w:spacing w:val="-55"/>
                <w:sz w:val="21"/>
                <w:szCs w:val="21"/>
              </w:rPr>
              <w:t xml:space="preserve"> </w:t>
            </w:r>
            <w:r>
              <w:rPr>
                <w:rFonts w:ascii="仿宋" w:hAnsi="仿宋" w:eastAsia="仿宋" w:cs="仿宋"/>
                <w:spacing w:val="-9"/>
                <w:sz w:val="21"/>
                <w:szCs w:val="21"/>
              </w:rPr>
              <w:t>日常公用经费调整</w:t>
            </w:r>
            <w:r>
              <w:rPr>
                <w:rFonts w:ascii="仿宋" w:hAnsi="仿宋" w:eastAsia="仿宋" w:cs="仿宋"/>
                <w:spacing w:val="-84"/>
                <w:sz w:val="21"/>
                <w:szCs w:val="21"/>
              </w:rPr>
              <w:t xml:space="preserve"> </w:t>
            </w:r>
            <w:r>
              <w:rPr>
                <w:rFonts w:ascii="仿宋" w:hAnsi="仿宋" w:eastAsia="仿宋" w:cs="仿宋"/>
                <w:spacing w:val="-3"/>
                <w:sz w:val="21"/>
                <w:szCs w:val="21"/>
              </w:rPr>
              <w:t>预算数，</w:t>
            </w:r>
            <w:r>
              <w:rPr>
                <w:rFonts w:ascii="仿宋" w:hAnsi="仿宋" w:eastAsia="仿宋" w:cs="仿宋"/>
                <w:spacing w:val="-89"/>
                <w:sz w:val="21"/>
                <w:szCs w:val="21"/>
              </w:rPr>
              <w:t xml:space="preserve"> </w:t>
            </w:r>
            <w:r>
              <w:rPr>
                <w:rFonts w:ascii="仿宋" w:hAnsi="仿宋" w:eastAsia="仿宋" w:cs="仿宋"/>
                <w:spacing w:val="-3"/>
                <w:sz w:val="21"/>
                <w:szCs w:val="21"/>
              </w:rPr>
              <w:t>得</w:t>
            </w:r>
            <w:r>
              <w:rPr>
                <w:rFonts w:ascii="仿宋" w:hAnsi="仿宋" w:eastAsia="仿宋" w:cs="仿宋"/>
                <w:spacing w:val="-33"/>
                <w:sz w:val="21"/>
                <w:szCs w:val="21"/>
              </w:rPr>
              <w:t xml:space="preserve"> </w:t>
            </w:r>
            <w:r>
              <w:rPr>
                <w:rFonts w:ascii="Times New Roman" w:hAnsi="Times New Roman" w:eastAsia="Times New Roman" w:cs="Times New Roman"/>
                <w:spacing w:val="-3"/>
                <w:sz w:val="21"/>
                <w:szCs w:val="21"/>
              </w:rPr>
              <w:t>50%</w:t>
            </w:r>
            <w:r>
              <w:rPr>
                <w:rFonts w:ascii="仿宋" w:hAnsi="仿宋" w:eastAsia="仿宋" w:cs="仿宋"/>
                <w:spacing w:val="-3"/>
                <w:sz w:val="21"/>
                <w:szCs w:val="21"/>
              </w:rPr>
              <w:t>权重分，</w:t>
            </w:r>
            <w:r>
              <w:rPr>
                <w:rFonts w:ascii="仿宋" w:hAnsi="仿宋" w:eastAsia="仿宋" w:cs="仿宋"/>
                <w:spacing w:val="-85"/>
                <w:sz w:val="21"/>
                <w:szCs w:val="21"/>
              </w:rPr>
              <w:t xml:space="preserve"> </w:t>
            </w:r>
            <w:r>
              <w:rPr>
                <w:rFonts w:ascii="仿宋" w:hAnsi="仿宋" w:eastAsia="仿宋" w:cs="仿宋"/>
                <w:spacing w:val="-2"/>
                <w:sz w:val="21"/>
                <w:szCs w:val="21"/>
              </w:rPr>
              <w:t>否则不得分</w:t>
            </w:r>
          </w:p>
        </w:tc>
        <w:tc>
          <w:tcPr>
            <w:tcW w:w="1729" w:type="dxa"/>
            <w:vAlign w:val="top"/>
          </w:tcPr>
          <w:p>
            <w:pPr>
              <w:spacing w:before="170" w:line="239" w:lineRule="auto"/>
              <w:ind w:left="13" w:right="8"/>
              <w:jc w:val="left"/>
              <w:rPr>
                <w:rFonts w:ascii="仿宋" w:hAnsi="仿宋" w:eastAsia="仿宋" w:cs="仿宋"/>
                <w:sz w:val="21"/>
                <w:szCs w:val="21"/>
              </w:rPr>
            </w:pPr>
            <w:r>
              <w:rPr>
                <w:rFonts w:ascii="仿宋" w:hAnsi="仿宋" w:eastAsia="仿宋" w:cs="仿宋"/>
                <w:spacing w:val="2"/>
                <w:sz w:val="21"/>
                <w:szCs w:val="21"/>
              </w:rPr>
              <w:t>本年度实际支出的</w:t>
            </w:r>
            <w:r>
              <w:rPr>
                <w:rFonts w:ascii="仿宋" w:hAnsi="仿宋" w:eastAsia="仿宋" w:cs="仿宋"/>
                <w:spacing w:val="-83"/>
                <w:sz w:val="21"/>
                <w:szCs w:val="21"/>
              </w:rPr>
              <w:t xml:space="preserve"> </w:t>
            </w:r>
            <w:r>
              <w:rPr>
                <w:rFonts w:ascii="仿宋" w:hAnsi="仿宋" w:eastAsia="仿宋" w:cs="仿宋"/>
                <w:spacing w:val="2"/>
                <w:sz w:val="21"/>
                <w:szCs w:val="21"/>
              </w:rPr>
              <w:t>公用经费总额小于</w:t>
            </w:r>
            <w:r>
              <w:rPr>
                <w:rFonts w:ascii="仿宋" w:hAnsi="仿宋" w:eastAsia="仿宋" w:cs="仿宋"/>
                <w:spacing w:val="-82"/>
                <w:sz w:val="21"/>
                <w:szCs w:val="21"/>
              </w:rPr>
              <w:t xml:space="preserve"> </w:t>
            </w:r>
            <w:r>
              <w:rPr>
                <w:rFonts w:ascii="仿宋" w:hAnsi="仿宋" w:eastAsia="仿宋" w:cs="仿宋"/>
                <w:spacing w:val="2"/>
                <w:sz w:val="21"/>
                <w:szCs w:val="21"/>
              </w:rPr>
              <w:t>预算安排的公经费</w:t>
            </w:r>
            <w:r>
              <w:rPr>
                <w:rFonts w:ascii="仿宋" w:hAnsi="仿宋" w:eastAsia="仿宋" w:cs="仿宋"/>
                <w:spacing w:val="-82"/>
                <w:sz w:val="21"/>
                <w:szCs w:val="21"/>
              </w:rPr>
              <w:t xml:space="preserve"> </w:t>
            </w:r>
            <w:r>
              <w:rPr>
                <w:rFonts w:ascii="仿宋" w:hAnsi="仿宋" w:eastAsia="仿宋" w:cs="仿宋"/>
                <w:spacing w:val="2"/>
                <w:sz w:val="21"/>
                <w:szCs w:val="21"/>
              </w:rPr>
              <w:t>用经费总额。反映</w:t>
            </w:r>
            <w:r>
              <w:rPr>
                <w:rFonts w:ascii="仿宋" w:hAnsi="仿宋" w:eastAsia="仿宋" w:cs="仿宋"/>
                <w:spacing w:val="-82"/>
                <w:sz w:val="21"/>
                <w:szCs w:val="21"/>
              </w:rPr>
              <w:t xml:space="preserve"> </w:t>
            </w:r>
            <w:r>
              <w:rPr>
                <w:rFonts w:ascii="仿宋" w:hAnsi="仿宋" w:eastAsia="仿宋" w:cs="仿宋"/>
                <w:spacing w:val="2"/>
                <w:sz w:val="21"/>
                <w:szCs w:val="21"/>
              </w:rPr>
              <w:t>和考核对运转成本</w:t>
            </w:r>
            <w:r>
              <w:rPr>
                <w:rFonts w:ascii="仿宋" w:hAnsi="仿宋" w:eastAsia="仿宋" w:cs="仿宋"/>
                <w:spacing w:val="-82"/>
                <w:sz w:val="21"/>
                <w:szCs w:val="21"/>
              </w:rPr>
              <w:t xml:space="preserve"> </w:t>
            </w:r>
            <w:r>
              <w:rPr>
                <w:rFonts w:ascii="仿宋" w:hAnsi="仿宋" w:eastAsia="仿宋" w:cs="仿宋"/>
                <w:spacing w:val="-1"/>
                <w:sz w:val="21"/>
                <w:szCs w:val="21"/>
              </w:rPr>
              <w:t>的实际控制程度</w:t>
            </w:r>
          </w:p>
        </w:tc>
        <w:tc>
          <w:tcPr>
            <w:tcW w:w="46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51" w:line="204" w:lineRule="auto"/>
              <w:ind w:firstLine="176"/>
              <w:jc w:val="left"/>
              <w:rPr>
                <w:rFonts w:ascii="仿宋" w:hAnsi="仿宋" w:eastAsia="仿宋" w:cs="仿宋"/>
                <w:sz w:val="21"/>
                <w:szCs w:val="21"/>
              </w:rPr>
            </w:pPr>
            <w:r>
              <w:rPr>
                <w:rFonts w:ascii="仿宋" w:hAnsi="仿宋" w:eastAsia="仿宋" w:cs="仿宋"/>
                <w:sz w:val="21"/>
                <w:szCs w:val="21"/>
              </w:rPr>
              <w:t>≤</w:t>
            </w:r>
          </w:p>
        </w:tc>
        <w:tc>
          <w:tcPr>
            <w:tcW w:w="661"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62" w:line="204" w:lineRule="auto"/>
              <w:ind w:firstLine="190"/>
              <w:jc w:val="left"/>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100</w:t>
            </w:r>
          </w:p>
        </w:tc>
        <w:tc>
          <w:tcPr>
            <w:tcW w:w="488"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61" w:line="204" w:lineRule="auto"/>
              <w:ind w:firstLine="158"/>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w:t>
            </w:r>
          </w:p>
        </w:tc>
        <w:tc>
          <w:tcPr>
            <w:tcW w:w="968"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25" w:line="204" w:lineRule="auto"/>
              <w:ind w:firstLine="18"/>
              <w:jc w:val="left"/>
              <w:rPr>
                <w:rFonts w:ascii="仿宋" w:hAnsi="仿宋" w:eastAsia="仿宋" w:cs="仿宋"/>
                <w:sz w:val="21"/>
                <w:szCs w:val="21"/>
              </w:rPr>
            </w:pPr>
            <w:r>
              <w:rPr>
                <w:rFonts w:ascii="仿宋" w:hAnsi="仿宋" w:eastAsia="仿宋" w:cs="仿宋"/>
                <w:spacing w:val="-3"/>
                <w:sz w:val="21"/>
                <w:szCs w:val="21"/>
              </w:rPr>
              <w:t>决算报表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91" w:hRule="atLeast"/>
        </w:trPr>
        <w:tc>
          <w:tcPr>
            <w:tcW w:w="584" w:type="dxa"/>
            <w:vMerge w:val="continue"/>
            <w:tcBorders>
              <w:top w:val="nil"/>
            </w:tcBorders>
            <w:vAlign w:val="top"/>
          </w:tcPr>
          <w:p>
            <w:pPr>
              <w:spacing w:line="240" w:lineRule="auto"/>
              <w:jc w:val="left"/>
              <w:rPr>
                <w:rFonts w:ascii="Arial" w:hAnsi="Arial" w:eastAsia="Arial" w:cs="Arial"/>
                <w:sz w:val="21"/>
                <w:szCs w:val="21"/>
              </w:rPr>
            </w:pPr>
          </w:p>
        </w:tc>
        <w:tc>
          <w:tcPr>
            <w:tcW w:w="680" w:type="dxa"/>
            <w:vMerge w:val="continue"/>
            <w:tcBorders>
              <w:top w:val="nil"/>
            </w:tcBorders>
            <w:vAlign w:val="top"/>
          </w:tcPr>
          <w:p>
            <w:pPr>
              <w:spacing w:line="240" w:lineRule="auto"/>
              <w:jc w:val="left"/>
              <w:rPr>
                <w:rFonts w:ascii="Arial" w:hAnsi="Arial" w:eastAsia="Arial" w:cs="Arial"/>
                <w:sz w:val="21"/>
                <w:szCs w:val="21"/>
              </w:rPr>
            </w:pPr>
          </w:p>
        </w:tc>
        <w:tc>
          <w:tcPr>
            <w:tcW w:w="1129" w:type="dxa"/>
            <w:vAlign w:val="top"/>
          </w:tcPr>
          <w:p>
            <w:pPr>
              <w:spacing w:before="301" w:line="241" w:lineRule="auto"/>
              <w:ind w:left="26" w:right="6"/>
              <w:jc w:val="left"/>
              <w:rPr>
                <w:rFonts w:ascii="仿宋" w:hAnsi="仿宋" w:eastAsia="仿宋" w:cs="仿宋"/>
                <w:sz w:val="21"/>
                <w:szCs w:val="21"/>
              </w:rPr>
            </w:pPr>
            <w:r>
              <w:rPr>
                <w:rFonts w:ascii="仿宋" w:hAnsi="仿宋" w:eastAsia="仿宋" w:cs="仿宋"/>
                <w:spacing w:val="7"/>
                <w:sz w:val="21"/>
                <w:szCs w:val="21"/>
              </w:rPr>
              <w:t>资金奖补、</w:t>
            </w:r>
            <w:r>
              <w:rPr>
                <w:rFonts w:ascii="仿宋" w:hAnsi="仿宋" w:eastAsia="仿宋" w:cs="仿宋"/>
                <w:spacing w:val="-82"/>
                <w:sz w:val="21"/>
                <w:szCs w:val="21"/>
              </w:rPr>
              <w:t xml:space="preserve"> </w:t>
            </w:r>
            <w:r>
              <w:rPr>
                <w:rFonts w:ascii="仿宋" w:hAnsi="仿宋" w:eastAsia="仿宋" w:cs="仿宋"/>
                <w:spacing w:val="-4"/>
                <w:sz w:val="21"/>
                <w:szCs w:val="21"/>
              </w:rPr>
              <w:t>下拨标准</w:t>
            </w:r>
          </w:p>
        </w:tc>
        <w:tc>
          <w:tcPr>
            <w:tcW w:w="2361" w:type="dxa"/>
            <w:vAlign w:val="top"/>
          </w:tcPr>
          <w:p>
            <w:pPr>
              <w:spacing w:line="240" w:lineRule="auto"/>
              <w:jc w:val="left"/>
              <w:rPr>
                <w:rFonts w:ascii="Arial" w:hAnsi="Arial" w:eastAsia="Arial" w:cs="Arial"/>
                <w:sz w:val="21"/>
                <w:szCs w:val="21"/>
              </w:rPr>
            </w:pPr>
          </w:p>
          <w:p>
            <w:pPr>
              <w:spacing w:before="197" w:line="204" w:lineRule="auto"/>
              <w:ind w:firstLine="16"/>
              <w:jc w:val="left"/>
              <w:rPr>
                <w:rFonts w:ascii="仿宋" w:hAnsi="仿宋" w:eastAsia="仿宋" w:cs="仿宋"/>
                <w:sz w:val="21"/>
                <w:szCs w:val="21"/>
              </w:rPr>
            </w:pPr>
            <w:r>
              <w:rPr>
                <w:rFonts w:ascii="仿宋" w:hAnsi="仿宋" w:eastAsia="仿宋" w:cs="仿宋"/>
                <w:spacing w:val="-1"/>
                <w:sz w:val="21"/>
                <w:szCs w:val="21"/>
              </w:rPr>
              <w:t>按标准支出资金即得满分</w:t>
            </w:r>
          </w:p>
        </w:tc>
        <w:tc>
          <w:tcPr>
            <w:tcW w:w="1729" w:type="dxa"/>
            <w:vAlign w:val="top"/>
          </w:tcPr>
          <w:p>
            <w:pPr>
              <w:spacing w:before="30" w:line="226" w:lineRule="auto"/>
              <w:ind w:left="14" w:right="8" w:hanging="2"/>
              <w:jc w:val="left"/>
              <w:rPr>
                <w:rFonts w:ascii="仿宋" w:hAnsi="仿宋" w:eastAsia="仿宋" w:cs="仿宋"/>
                <w:sz w:val="21"/>
                <w:szCs w:val="21"/>
              </w:rPr>
            </w:pPr>
            <w:r>
              <w:rPr>
                <w:rFonts w:ascii="仿宋" w:hAnsi="仿宋" w:eastAsia="仿宋" w:cs="仿宋"/>
                <w:spacing w:val="2"/>
                <w:sz w:val="21"/>
                <w:szCs w:val="21"/>
              </w:rPr>
              <w:t>该指标主要考核各</w:t>
            </w:r>
            <w:r>
              <w:rPr>
                <w:rFonts w:ascii="仿宋" w:hAnsi="仿宋" w:eastAsia="仿宋" w:cs="仿宋"/>
                <w:spacing w:val="-81"/>
                <w:sz w:val="21"/>
                <w:szCs w:val="21"/>
              </w:rPr>
              <w:t xml:space="preserve"> </w:t>
            </w:r>
            <w:r>
              <w:rPr>
                <w:rFonts w:ascii="仿宋" w:hAnsi="仿宋" w:eastAsia="仿宋" w:cs="仿宋"/>
                <w:spacing w:val="2"/>
                <w:sz w:val="21"/>
                <w:szCs w:val="21"/>
              </w:rPr>
              <w:t>项奖补资金及下拨</w:t>
            </w:r>
            <w:r>
              <w:rPr>
                <w:rFonts w:ascii="仿宋" w:hAnsi="仿宋" w:eastAsia="仿宋" w:cs="仿宋"/>
                <w:spacing w:val="-84"/>
                <w:sz w:val="21"/>
                <w:szCs w:val="21"/>
              </w:rPr>
              <w:t xml:space="preserve"> </w:t>
            </w:r>
            <w:r>
              <w:rPr>
                <w:rFonts w:ascii="仿宋" w:hAnsi="仿宋" w:eastAsia="仿宋" w:cs="仿宋"/>
                <w:spacing w:val="2"/>
                <w:sz w:val="21"/>
                <w:szCs w:val="21"/>
              </w:rPr>
              <w:t>资金是否按标准发</w:t>
            </w:r>
            <w:r>
              <w:rPr>
                <w:rFonts w:ascii="仿宋" w:hAnsi="仿宋" w:eastAsia="仿宋" w:cs="仿宋"/>
                <w:spacing w:val="-84"/>
                <w:sz w:val="21"/>
                <w:szCs w:val="21"/>
              </w:rPr>
              <w:t xml:space="preserve"> </w:t>
            </w:r>
            <w:r>
              <w:rPr>
                <w:rFonts w:ascii="仿宋" w:hAnsi="仿宋" w:eastAsia="仿宋" w:cs="仿宋"/>
                <w:sz w:val="21"/>
                <w:szCs w:val="21"/>
              </w:rPr>
              <w:t>放</w:t>
            </w:r>
          </w:p>
        </w:tc>
        <w:tc>
          <w:tcPr>
            <w:tcW w:w="469" w:type="dxa"/>
            <w:vAlign w:val="top"/>
          </w:tcPr>
          <w:p>
            <w:pPr>
              <w:spacing w:line="240" w:lineRule="auto"/>
              <w:jc w:val="left"/>
              <w:rPr>
                <w:rFonts w:ascii="Arial" w:hAnsi="Arial" w:eastAsia="Arial" w:cs="Arial"/>
                <w:sz w:val="21"/>
                <w:szCs w:val="21"/>
              </w:rPr>
            </w:pPr>
          </w:p>
        </w:tc>
        <w:tc>
          <w:tcPr>
            <w:tcW w:w="661" w:type="dxa"/>
            <w:vAlign w:val="top"/>
          </w:tcPr>
          <w:p>
            <w:pPr>
              <w:spacing w:line="240" w:lineRule="auto"/>
              <w:jc w:val="left"/>
              <w:rPr>
                <w:rFonts w:ascii="Arial" w:hAnsi="Arial" w:eastAsia="Arial" w:cs="Arial"/>
                <w:sz w:val="21"/>
                <w:szCs w:val="21"/>
              </w:rPr>
            </w:pPr>
          </w:p>
          <w:p>
            <w:pPr>
              <w:spacing w:before="197" w:line="204" w:lineRule="auto"/>
              <w:ind w:firstLine="16"/>
              <w:jc w:val="left"/>
              <w:rPr>
                <w:rFonts w:ascii="仿宋" w:hAnsi="仿宋" w:eastAsia="仿宋" w:cs="仿宋"/>
                <w:sz w:val="21"/>
                <w:szCs w:val="21"/>
              </w:rPr>
            </w:pPr>
            <w:r>
              <w:rPr>
                <w:rFonts w:ascii="仿宋" w:hAnsi="仿宋" w:eastAsia="仿宋" w:cs="仿宋"/>
                <w:spacing w:val="-2"/>
                <w:sz w:val="21"/>
                <w:szCs w:val="21"/>
              </w:rPr>
              <w:t>按标准</w:t>
            </w:r>
          </w:p>
        </w:tc>
        <w:tc>
          <w:tcPr>
            <w:tcW w:w="488" w:type="dxa"/>
            <w:vAlign w:val="top"/>
          </w:tcPr>
          <w:p>
            <w:pPr>
              <w:spacing w:line="240" w:lineRule="auto"/>
              <w:jc w:val="left"/>
              <w:rPr>
                <w:rFonts w:ascii="Arial" w:hAnsi="Arial" w:eastAsia="Arial" w:cs="Arial"/>
                <w:sz w:val="21"/>
                <w:szCs w:val="21"/>
              </w:rPr>
            </w:pPr>
          </w:p>
        </w:tc>
        <w:tc>
          <w:tcPr>
            <w:tcW w:w="968" w:type="dxa"/>
            <w:vAlign w:val="top"/>
          </w:tcPr>
          <w:p>
            <w:pPr>
              <w:spacing w:before="302" w:line="266" w:lineRule="auto"/>
              <w:ind w:left="22" w:firstLine="3"/>
              <w:jc w:val="left"/>
              <w:rPr>
                <w:rFonts w:ascii="仿宋" w:hAnsi="仿宋" w:eastAsia="仿宋" w:cs="仿宋"/>
                <w:sz w:val="19"/>
                <w:szCs w:val="19"/>
              </w:rPr>
            </w:pPr>
            <w:r>
              <w:rPr>
                <w:rFonts w:ascii="仿宋" w:hAnsi="仿宋" w:eastAsia="仿宋" w:cs="仿宋"/>
                <w:spacing w:val="-4"/>
                <w:sz w:val="19"/>
                <w:szCs w:val="19"/>
              </w:rPr>
              <w:t>奖补文件、</w:t>
            </w:r>
            <w:r>
              <w:rPr>
                <w:rFonts w:ascii="仿宋" w:hAnsi="仿宋" w:eastAsia="仿宋" w:cs="仿宋"/>
                <w:spacing w:val="-72"/>
                <w:sz w:val="19"/>
                <w:szCs w:val="19"/>
              </w:rPr>
              <w:t xml:space="preserve"> </w:t>
            </w:r>
            <w:r>
              <w:rPr>
                <w:rFonts w:ascii="仿宋" w:hAnsi="仿宋" w:eastAsia="仿宋" w:cs="仿宋"/>
                <w:spacing w:val="-3"/>
                <w:sz w:val="19"/>
                <w:szCs w:val="19"/>
              </w:rPr>
              <w:t>下拨文件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08" w:hRule="atLeast"/>
        </w:trPr>
        <w:tc>
          <w:tcPr>
            <w:tcW w:w="584" w:type="dxa"/>
            <w:vMerge w:val="restart"/>
            <w:tcBorders>
              <w:bottom w:val="nil"/>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81" w:line="238" w:lineRule="auto"/>
              <w:ind w:left="92" w:right="74" w:hanging="5"/>
              <w:jc w:val="left"/>
              <w:rPr>
                <w:rFonts w:ascii="仿宋" w:hAnsi="仿宋" w:eastAsia="仿宋" w:cs="仿宋"/>
                <w:sz w:val="21"/>
                <w:szCs w:val="21"/>
              </w:rPr>
            </w:pPr>
            <w:r>
              <w:rPr>
                <w:rFonts w:ascii="仿宋" w:hAnsi="仿宋" w:eastAsia="仿宋" w:cs="仿宋"/>
                <w:spacing w:val="-3"/>
                <w:sz w:val="21"/>
                <w:szCs w:val="21"/>
              </w:rPr>
              <w:t>部门</w:t>
            </w:r>
            <w:r>
              <w:rPr>
                <w:rFonts w:ascii="仿宋" w:hAnsi="仿宋" w:eastAsia="仿宋" w:cs="仿宋"/>
                <w:spacing w:val="-85"/>
                <w:sz w:val="21"/>
                <w:szCs w:val="21"/>
              </w:rPr>
              <w:t xml:space="preserve"> </w:t>
            </w:r>
            <w:r>
              <w:rPr>
                <w:rFonts w:ascii="仿宋" w:hAnsi="仿宋" w:eastAsia="仿宋" w:cs="仿宋"/>
                <w:spacing w:val="-6"/>
                <w:sz w:val="21"/>
                <w:szCs w:val="21"/>
              </w:rPr>
              <w:t>效果</w:t>
            </w:r>
          </w:p>
        </w:tc>
        <w:tc>
          <w:tcPr>
            <w:tcW w:w="680" w:type="dxa"/>
            <w:vMerge w:val="restart"/>
            <w:tcBorders>
              <w:bottom w:val="nil"/>
            </w:tcBorders>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52" w:line="238" w:lineRule="auto"/>
              <w:ind w:left="140" w:right="122" w:hanging="1"/>
              <w:jc w:val="left"/>
              <w:rPr>
                <w:rFonts w:ascii="仿宋" w:hAnsi="仿宋" w:eastAsia="仿宋" w:cs="仿宋"/>
                <w:sz w:val="21"/>
                <w:szCs w:val="21"/>
              </w:rPr>
            </w:pPr>
            <w:r>
              <w:rPr>
                <w:rFonts w:ascii="仿宋" w:hAnsi="仿宋" w:eastAsia="仿宋" w:cs="仿宋"/>
                <w:spacing w:val="-6"/>
                <w:sz w:val="21"/>
                <w:szCs w:val="21"/>
              </w:rPr>
              <w:t>社会</w:t>
            </w:r>
            <w:r>
              <w:rPr>
                <w:rFonts w:ascii="仿宋" w:hAnsi="仿宋" w:eastAsia="仿宋" w:cs="仿宋"/>
                <w:spacing w:val="-84"/>
                <w:sz w:val="21"/>
                <w:szCs w:val="21"/>
              </w:rPr>
              <w:t xml:space="preserve"> </w:t>
            </w:r>
            <w:r>
              <w:rPr>
                <w:rFonts w:ascii="仿宋" w:hAnsi="仿宋" w:eastAsia="仿宋" w:cs="仿宋"/>
                <w:spacing w:val="-6"/>
                <w:sz w:val="21"/>
                <w:szCs w:val="21"/>
              </w:rPr>
              <w:t>效益</w:t>
            </w:r>
          </w:p>
        </w:tc>
        <w:tc>
          <w:tcPr>
            <w:tcW w:w="112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95" w:line="239" w:lineRule="auto"/>
              <w:ind w:left="26" w:right="6" w:hanging="9"/>
              <w:jc w:val="left"/>
              <w:rPr>
                <w:rFonts w:ascii="仿宋" w:hAnsi="仿宋" w:eastAsia="仿宋" w:cs="仿宋"/>
                <w:sz w:val="21"/>
                <w:szCs w:val="21"/>
              </w:rPr>
            </w:pPr>
            <w:r>
              <w:rPr>
                <w:rFonts w:ascii="仿宋" w:hAnsi="仿宋" w:eastAsia="仿宋" w:cs="仿宋"/>
                <w:spacing w:val="9"/>
                <w:sz w:val="21"/>
                <w:szCs w:val="21"/>
              </w:rPr>
              <w:t>推进政府投</w:t>
            </w:r>
            <w:r>
              <w:rPr>
                <w:rFonts w:ascii="仿宋" w:hAnsi="仿宋" w:eastAsia="仿宋" w:cs="仿宋"/>
                <w:spacing w:val="-83"/>
                <w:sz w:val="21"/>
                <w:szCs w:val="21"/>
              </w:rPr>
              <w:t xml:space="preserve"> </w:t>
            </w:r>
            <w:r>
              <w:rPr>
                <w:rFonts w:ascii="仿宋" w:hAnsi="仿宋" w:eastAsia="仿宋" w:cs="仿宋"/>
                <w:spacing w:val="7"/>
                <w:sz w:val="21"/>
                <w:szCs w:val="21"/>
              </w:rPr>
              <w:t>资及重大项</w:t>
            </w:r>
            <w:r>
              <w:rPr>
                <w:rFonts w:ascii="仿宋" w:hAnsi="仿宋" w:eastAsia="仿宋" w:cs="仿宋"/>
                <w:spacing w:val="-82"/>
                <w:sz w:val="21"/>
                <w:szCs w:val="21"/>
              </w:rPr>
              <w:t xml:space="preserve"> </w:t>
            </w:r>
            <w:r>
              <w:rPr>
                <w:rFonts w:ascii="仿宋" w:hAnsi="仿宋" w:eastAsia="仿宋" w:cs="仿宋"/>
                <w:spacing w:val="-4"/>
                <w:sz w:val="21"/>
                <w:szCs w:val="21"/>
              </w:rPr>
              <w:t>目建设</w:t>
            </w:r>
          </w:p>
        </w:tc>
        <w:tc>
          <w:tcPr>
            <w:tcW w:w="2361" w:type="dxa"/>
            <w:vAlign w:val="top"/>
          </w:tcPr>
          <w:p>
            <w:pPr>
              <w:spacing w:before="34" w:line="243" w:lineRule="auto"/>
              <w:ind w:left="13" w:firstLine="1"/>
              <w:jc w:val="left"/>
              <w:rPr>
                <w:rFonts w:ascii="仿宋" w:hAnsi="仿宋" w:eastAsia="仿宋" w:cs="仿宋"/>
                <w:sz w:val="20"/>
                <w:szCs w:val="20"/>
              </w:rPr>
            </w:pPr>
            <w:r>
              <w:rPr>
                <w:rFonts w:ascii="仿宋" w:hAnsi="仿宋" w:eastAsia="仿宋" w:cs="仿宋"/>
                <w:spacing w:val="-3"/>
                <w:sz w:val="20"/>
                <w:szCs w:val="20"/>
              </w:rPr>
              <w:t>达</w:t>
            </w:r>
            <w:r>
              <w:rPr>
                <w:rFonts w:ascii="仿宋" w:hAnsi="仿宋" w:eastAsia="仿宋" w:cs="仿宋"/>
                <w:spacing w:val="-58"/>
                <w:sz w:val="20"/>
                <w:szCs w:val="20"/>
              </w:rPr>
              <w:t xml:space="preserve"> </w:t>
            </w:r>
            <w:r>
              <w:rPr>
                <w:rFonts w:ascii="仿宋" w:hAnsi="仿宋" w:eastAsia="仿宋" w:cs="仿宋"/>
                <w:spacing w:val="-3"/>
                <w:sz w:val="20"/>
                <w:szCs w:val="20"/>
              </w:rPr>
              <w:t>成</w:t>
            </w:r>
            <w:r>
              <w:rPr>
                <w:rFonts w:ascii="仿宋" w:hAnsi="仿宋" w:eastAsia="仿宋" w:cs="仿宋"/>
                <w:spacing w:val="-63"/>
                <w:sz w:val="20"/>
                <w:szCs w:val="20"/>
              </w:rPr>
              <w:t xml:space="preserve"> </w:t>
            </w:r>
            <w:r>
              <w:rPr>
                <w:rFonts w:ascii="仿宋" w:hAnsi="仿宋" w:eastAsia="仿宋" w:cs="仿宋"/>
                <w:spacing w:val="-3"/>
                <w:sz w:val="20"/>
                <w:szCs w:val="20"/>
              </w:rPr>
              <w:t>年</w:t>
            </w:r>
            <w:r>
              <w:rPr>
                <w:rFonts w:ascii="仿宋" w:hAnsi="仿宋" w:eastAsia="仿宋" w:cs="仿宋"/>
                <w:spacing w:val="-65"/>
                <w:sz w:val="20"/>
                <w:szCs w:val="20"/>
              </w:rPr>
              <w:t xml:space="preserve"> </w:t>
            </w:r>
            <w:r>
              <w:rPr>
                <w:rFonts w:ascii="仿宋" w:hAnsi="仿宋" w:eastAsia="仿宋" w:cs="仿宋"/>
                <w:spacing w:val="-3"/>
                <w:sz w:val="20"/>
                <w:szCs w:val="20"/>
              </w:rPr>
              <w:t>度</w:t>
            </w:r>
            <w:r>
              <w:rPr>
                <w:rFonts w:ascii="仿宋" w:hAnsi="仿宋" w:eastAsia="仿宋" w:cs="仿宋"/>
                <w:spacing w:val="-63"/>
                <w:sz w:val="20"/>
                <w:szCs w:val="20"/>
              </w:rPr>
              <w:t xml:space="preserve"> </w:t>
            </w:r>
            <w:r>
              <w:rPr>
                <w:rFonts w:ascii="仿宋" w:hAnsi="仿宋" w:eastAsia="仿宋" w:cs="仿宋"/>
                <w:spacing w:val="-3"/>
                <w:sz w:val="20"/>
                <w:szCs w:val="20"/>
              </w:rPr>
              <w:t>指标</w:t>
            </w:r>
            <w:r>
              <w:rPr>
                <w:rFonts w:ascii="仿宋" w:hAnsi="仿宋" w:eastAsia="仿宋" w:cs="仿宋"/>
                <w:spacing w:val="-61"/>
                <w:sz w:val="20"/>
                <w:szCs w:val="20"/>
              </w:rPr>
              <w:t xml:space="preserve"> </w:t>
            </w:r>
            <w:r>
              <w:rPr>
                <w:rFonts w:ascii="仿宋" w:hAnsi="仿宋" w:eastAsia="仿宋" w:cs="仿宋"/>
                <w:spacing w:val="-3"/>
                <w:sz w:val="20"/>
                <w:szCs w:val="20"/>
              </w:rPr>
              <w:t>得</w:t>
            </w:r>
            <w:r>
              <w:rPr>
                <w:rFonts w:ascii="仿宋" w:hAnsi="仿宋" w:eastAsia="仿宋" w:cs="仿宋"/>
                <w:spacing w:val="49"/>
                <w:sz w:val="20"/>
                <w:szCs w:val="20"/>
              </w:rPr>
              <w:t xml:space="preserve"> </w:t>
            </w:r>
            <w:r>
              <w:rPr>
                <w:rFonts w:ascii="Times New Roman" w:hAnsi="Times New Roman" w:eastAsia="Times New Roman" w:cs="Times New Roman"/>
                <w:spacing w:val="-3"/>
                <w:sz w:val="20"/>
                <w:szCs w:val="20"/>
              </w:rPr>
              <w:t>100%-</w:t>
            </w:r>
            <w:r>
              <w:rPr>
                <w:rFonts w:ascii="Times New Roman" w:hAnsi="Times New Roman" w:eastAsia="Times New Roman" w:cs="Times New Roman"/>
                <w:spacing w:val="10"/>
                <w:w w:val="101"/>
                <w:sz w:val="20"/>
                <w:szCs w:val="20"/>
              </w:rPr>
              <w:t xml:space="preserve">  </w:t>
            </w:r>
            <w:r>
              <w:rPr>
                <w:rFonts w:ascii="Times New Roman" w:hAnsi="Times New Roman" w:eastAsia="Times New Roman" w:cs="Times New Roman"/>
                <w:spacing w:val="-10"/>
                <w:sz w:val="20"/>
                <w:szCs w:val="20"/>
              </w:rPr>
              <w:t>80%</w:t>
            </w:r>
            <w:r>
              <w:rPr>
                <w:rFonts w:ascii="仿宋" w:hAnsi="仿宋" w:eastAsia="仿宋" w:cs="仿宋"/>
                <w:spacing w:val="-10"/>
                <w:sz w:val="20"/>
                <w:szCs w:val="20"/>
              </w:rPr>
              <w:t>（含）权重分、部分达</w:t>
            </w:r>
            <w:r>
              <w:rPr>
                <w:rFonts w:ascii="仿宋" w:hAnsi="仿宋" w:eastAsia="仿宋" w:cs="仿宋"/>
                <w:spacing w:val="22"/>
                <w:sz w:val="20"/>
                <w:szCs w:val="20"/>
              </w:rPr>
              <w:t xml:space="preserve"> </w:t>
            </w:r>
            <w:r>
              <w:rPr>
                <w:rFonts w:ascii="仿宋" w:hAnsi="仿宋" w:eastAsia="仿宋" w:cs="仿宋"/>
                <w:spacing w:val="3"/>
                <w:sz w:val="20"/>
                <w:szCs w:val="20"/>
              </w:rPr>
              <w:t>成年度指标并具有一定效</w:t>
            </w:r>
            <w:r>
              <w:rPr>
                <w:rFonts w:ascii="仿宋" w:hAnsi="仿宋" w:eastAsia="仿宋" w:cs="仿宋"/>
                <w:spacing w:val="26"/>
                <w:sz w:val="20"/>
                <w:szCs w:val="20"/>
              </w:rPr>
              <w:t xml:space="preserve"> </w:t>
            </w:r>
            <w:r>
              <w:rPr>
                <w:rFonts w:ascii="仿宋" w:hAnsi="仿宋" w:eastAsia="仿宋" w:cs="仿宋"/>
                <w:spacing w:val="-5"/>
                <w:sz w:val="20"/>
                <w:szCs w:val="20"/>
              </w:rPr>
              <w:t>果得</w:t>
            </w:r>
            <w:r>
              <w:rPr>
                <w:rFonts w:ascii="仿宋" w:hAnsi="仿宋" w:eastAsia="仿宋" w:cs="仿宋"/>
                <w:spacing w:val="-33"/>
                <w:sz w:val="20"/>
                <w:szCs w:val="20"/>
              </w:rPr>
              <w:t xml:space="preserve"> </w:t>
            </w:r>
            <w:r>
              <w:rPr>
                <w:rFonts w:ascii="Times New Roman" w:hAnsi="Times New Roman" w:eastAsia="Times New Roman" w:cs="Times New Roman"/>
                <w:spacing w:val="-5"/>
                <w:sz w:val="20"/>
                <w:szCs w:val="20"/>
              </w:rPr>
              <w:t>80%-60%</w:t>
            </w:r>
            <w:r>
              <w:rPr>
                <w:rFonts w:ascii="Times New Roman" w:hAnsi="Times New Roman" w:eastAsia="Times New Roman" w:cs="Times New Roman"/>
                <w:spacing w:val="-9"/>
                <w:sz w:val="20"/>
                <w:szCs w:val="20"/>
              </w:rPr>
              <w:t xml:space="preserve"> </w:t>
            </w:r>
            <w:r>
              <w:rPr>
                <w:rFonts w:ascii="仿宋" w:hAnsi="仿宋" w:eastAsia="仿宋" w:cs="仿宋"/>
                <w:spacing w:val="-5"/>
                <w:sz w:val="20"/>
                <w:szCs w:val="20"/>
              </w:rPr>
              <w:t>（含）权重</w:t>
            </w:r>
            <w:r>
              <w:rPr>
                <w:rFonts w:ascii="仿宋" w:hAnsi="仿宋" w:eastAsia="仿宋" w:cs="仿宋"/>
                <w:spacing w:val="21"/>
                <w:sz w:val="20"/>
                <w:szCs w:val="20"/>
              </w:rPr>
              <w:t xml:space="preserve"> </w:t>
            </w:r>
            <w:r>
              <w:rPr>
                <w:rFonts w:ascii="仿宋" w:hAnsi="仿宋" w:eastAsia="仿宋" w:cs="仿宋"/>
                <w:spacing w:val="3"/>
                <w:sz w:val="20"/>
                <w:szCs w:val="20"/>
              </w:rPr>
              <w:t>分、未达成年度指标且效</w:t>
            </w:r>
            <w:r>
              <w:rPr>
                <w:rFonts w:ascii="仿宋" w:hAnsi="仿宋" w:eastAsia="仿宋" w:cs="仿宋"/>
                <w:spacing w:val="26"/>
                <w:sz w:val="20"/>
                <w:szCs w:val="20"/>
              </w:rPr>
              <w:t xml:space="preserve"> </w:t>
            </w:r>
            <w:r>
              <w:rPr>
                <w:rFonts w:ascii="仿宋" w:hAnsi="仿宋" w:eastAsia="仿宋" w:cs="仿宋"/>
                <w:spacing w:val="-4"/>
                <w:sz w:val="20"/>
                <w:szCs w:val="20"/>
              </w:rPr>
              <w:t>果较差三档得</w:t>
            </w:r>
            <w:r>
              <w:rPr>
                <w:rFonts w:ascii="仿宋" w:hAnsi="仿宋" w:eastAsia="仿宋" w:cs="仿宋"/>
                <w:spacing w:val="-38"/>
                <w:sz w:val="20"/>
                <w:szCs w:val="20"/>
              </w:rPr>
              <w:t xml:space="preserve"> </w:t>
            </w:r>
            <w:r>
              <w:rPr>
                <w:rFonts w:ascii="Times New Roman" w:hAnsi="Times New Roman" w:eastAsia="Times New Roman" w:cs="Times New Roman"/>
                <w:spacing w:val="-4"/>
                <w:sz w:val="20"/>
                <w:szCs w:val="20"/>
              </w:rPr>
              <w:t>60%-0</w:t>
            </w:r>
            <w:r>
              <w:rPr>
                <w:rFonts w:ascii="仿宋" w:hAnsi="仿宋" w:eastAsia="仿宋" w:cs="仿宋"/>
                <w:spacing w:val="-4"/>
                <w:sz w:val="20"/>
                <w:szCs w:val="20"/>
              </w:rPr>
              <w:t>（含）</w:t>
            </w:r>
            <w:r>
              <w:rPr>
                <w:rFonts w:ascii="仿宋" w:hAnsi="仿宋" w:eastAsia="仿宋" w:cs="仿宋"/>
                <w:spacing w:val="-80"/>
                <w:sz w:val="20"/>
                <w:szCs w:val="20"/>
              </w:rPr>
              <w:t xml:space="preserve"> </w:t>
            </w:r>
            <w:r>
              <w:rPr>
                <w:rFonts w:ascii="仿宋" w:hAnsi="仿宋" w:eastAsia="仿宋" w:cs="仿宋"/>
                <w:sz w:val="20"/>
                <w:szCs w:val="20"/>
              </w:rPr>
              <w:t>权重分</w:t>
            </w:r>
          </w:p>
        </w:tc>
        <w:tc>
          <w:tcPr>
            <w:tcW w:w="1729" w:type="dxa"/>
            <w:vAlign w:val="top"/>
          </w:tcPr>
          <w:p>
            <w:pPr>
              <w:spacing w:before="170" w:line="239" w:lineRule="auto"/>
              <w:ind w:left="14" w:right="8" w:firstLine="5"/>
              <w:jc w:val="left"/>
              <w:rPr>
                <w:rFonts w:ascii="仿宋" w:hAnsi="仿宋" w:eastAsia="仿宋" w:cs="仿宋"/>
                <w:sz w:val="21"/>
                <w:szCs w:val="21"/>
              </w:rPr>
            </w:pPr>
            <w:r>
              <w:rPr>
                <w:rFonts w:ascii="仿宋" w:hAnsi="仿宋" w:eastAsia="仿宋" w:cs="仿宋"/>
                <w:spacing w:val="1"/>
                <w:sz w:val="21"/>
                <w:szCs w:val="21"/>
              </w:rPr>
              <w:t>通过平衡需政府投</w:t>
            </w:r>
            <w:r>
              <w:rPr>
                <w:rFonts w:ascii="仿宋" w:hAnsi="仿宋" w:eastAsia="仿宋" w:cs="仿宋"/>
                <w:spacing w:val="-80"/>
                <w:sz w:val="21"/>
                <w:szCs w:val="21"/>
              </w:rPr>
              <w:t xml:space="preserve"> </w:t>
            </w:r>
            <w:r>
              <w:rPr>
                <w:rFonts w:ascii="仿宋" w:hAnsi="仿宋" w:eastAsia="仿宋" w:cs="仿宋"/>
                <w:spacing w:val="2"/>
                <w:sz w:val="21"/>
                <w:szCs w:val="21"/>
              </w:rPr>
              <w:t>资和涉及重大建设</w:t>
            </w:r>
            <w:r>
              <w:rPr>
                <w:rFonts w:ascii="仿宋" w:hAnsi="仿宋" w:eastAsia="仿宋" w:cs="仿宋"/>
                <w:spacing w:val="-83"/>
                <w:sz w:val="21"/>
                <w:szCs w:val="21"/>
              </w:rPr>
              <w:t xml:space="preserve"> </w:t>
            </w:r>
            <w:r>
              <w:rPr>
                <w:rFonts w:ascii="仿宋" w:hAnsi="仿宋" w:eastAsia="仿宋" w:cs="仿宋"/>
                <w:spacing w:val="2"/>
                <w:sz w:val="21"/>
                <w:szCs w:val="21"/>
              </w:rPr>
              <w:t>项目的专项规划，</w:t>
            </w:r>
            <w:r>
              <w:rPr>
                <w:rFonts w:ascii="仿宋" w:hAnsi="仿宋" w:eastAsia="仿宋" w:cs="仿宋"/>
                <w:spacing w:val="-83"/>
                <w:sz w:val="21"/>
                <w:szCs w:val="21"/>
              </w:rPr>
              <w:t xml:space="preserve"> </w:t>
            </w:r>
            <w:r>
              <w:rPr>
                <w:rFonts w:ascii="仿宋" w:hAnsi="仿宋" w:eastAsia="仿宋" w:cs="仿宋"/>
                <w:spacing w:val="2"/>
                <w:sz w:val="21"/>
                <w:szCs w:val="21"/>
              </w:rPr>
              <w:t>对全市重点投资项</w:t>
            </w:r>
            <w:r>
              <w:rPr>
                <w:rFonts w:ascii="仿宋" w:hAnsi="仿宋" w:eastAsia="仿宋" w:cs="仿宋"/>
                <w:spacing w:val="-83"/>
                <w:sz w:val="21"/>
                <w:szCs w:val="21"/>
              </w:rPr>
              <w:t xml:space="preserve"> </w:t>
            </w:r>
            <w:r>
              <w:rPr>
                <w:rFonts w:ascii="仿宋" w:hAnsi="仿宋" w:eastAsia="仿宋" w:cs="仿宋"/>
                <w:spacing w:val="2"/>
                <w:sz w:val="21"/>
                <w:szCs w:val="21"/>
              </w:rPr>
              <w:t>目的完成起到的作</w:t>
            </w:r>
            <w:r>
              <w:rPr>
                <w:rFonts w:ascii="仿宋" w:hAnsi="仿宋" w:eastAsia="仿宋" w:cs="仿宋"/>
                <w:spacing w:val="-83"/>
                <w:sz w:val="21"/>
                <w:szCs w:val="21"/>
              </w:rPr>
              <w:t xml:space="preserve"> </w:t>
            </w:r>
            <w:r>
              <w:rPr>
                <w:rFonts w:ascii="仿宋" w:hAnsi="仿宋" w:eastAsia="仿宋" w:cs="仿宋"/>
                <w:sz w:val="21"/>
                <w:szCs w:val="21"/>
              </w:rPr>
              <w:t>用</w:t>
            </w:r>
          </w:p>
        </w:tc>
        <w:tc>
          <w:tcPr>
            <w:tcW w:w="469" w:type="dxa"/>
            <w:vAlign w:val="top"/>
          </w:tcPr>
          <w:p>
            <w:pPr>
              <w:spacing w:line="240" w:lineRule="auto"/>
              <w:jc w:val="left"/>
              <w:rPr>
                <w:rFonts w:ascii="Arial" w:hAnsi="Arial" w:eastAsia="Arial" w:cs="Arial"/>
                <w:sz w:val="21"/>
                <w:szCs w:val="21"/>
              </w:rPr>
            </w:pPr>
          </w:p>
        </w:tc>
        <w:tc>
          <w:tcPr>
            <w:tcW w:w="661"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22" w:line="204" w:lineRule="auto"/>
              <w:ind w:firstLine="121"/>
              <w:jc w:val="left"/>
              <w:rPr>
                <w:rFonts w:ascii="仿宋" w:hAnsi="仿宋" w:eastAsia="仿宋" w:cs="仿宋"/>
                <w:sz w:val="21"/>
                <w:szCs w:val="21"/>
              </w:rPr>
            </w:pPr>
            <w:r>
              <w:rPr>
                <w:rFonts w:ascii="仿宋" w:hAnsi="仿宋" w:eastAsia="仿宋" w:cs="仿宋"/>
                <w:spacing w:val="-2"/>
                <w:sz w:val="21"/>
                <w:szCs w:val="21"/>
              </w:rPr>
              <w:t>推进</w:t>
            </w:r>
          </w:p>
        </w:tc>
        <w:tc>
          <w:tcPr>
            <w:tcW w:w="488" w:type="dxa"/>
            <w:vAlign w:val="top"/>
          </w:tcPr>
          <w:p>
            <w:pPr>
              <w:spacing w:line="240" w:lineRule="auto"/>
              <w:jc w:val="left"/>
              <w:rPr>
                <w:rFonts w:ascii="Arial" w:hAnsi="Arial" w:eastAsia="Arial" w:cs="Arial"/>
                <w:sz w:val="21"/>
                <w:szCs w:val="21"/>
              </w:rPr>
            </w:pPr>
          </w:p>
        </w:tc>
        <w:tc>
          <w:tcPr>
            <w:tcW w:w="968"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92" w:line="265" w:lineRule="auto"/>
              <w:ind w:left="15" w:firstLine="2"/>
              <w:jc w:val="left"/>
              <w:rPr>
                <w:rFonts w:ascii="仿宋" w:hAnsi="仿宋" w:eastAsia="仿宋" w:cs="仿宋"/>
                <w:sz w:val="19"/>
                <w:szCs w:val="19"/>
              </w:rPr>
            </w:pPr>
            <w:r>
              <w:rPr>
                <w:rFonts w:ascii="仿宋" w:hAnsi="仿宋" w:eastAsia="仿宋" w:cs="仿宋"/>
                <w:spacing w:val="-2"/>
                <w:sz w:val="19"/>
                <w:szCs w:val="19"/>
              </w:rPr>
              <w:t>工作方案、</w:t>
            </w:r>
            <w:r>
              <w:rPr>
                <w:rFonts w:ascii="仿宋" w:hAnsi="仿宋" w:eastAsia="仿宋" w:cs="仿宋"/>
                <w:spacing w:val="-74"/>
                <w:sz w:val="19"/>
                <w:szCs w:val="19"/>
              </w:rPr>
              <w:t xml:space="preserve"> </w:t>
            </w:r>
            <w:r>
              <w:rPr>
                <w:rFonts w:ascii="仿宋" w:hAnsi="仿宋" w:eastAsia="仿宋" w:cs="仿宋"/>
                <w:spacing w:val="-8"/>
                <w:sz w:val="19"/>
                <w:szCs w:val="19"/>
              </w:rPr>
              <w:t>年</w:t>
            </w:r>
            <w:r>
              <w:rPr>
                <w:rFonts w:ascii="仿宋" w:hAnsi="仿宋" w:eastAsia="仿宋" w:cs="仿宋"/>
                <w:spacing w:val="-58"/>
                <w:sz w:val="19"/>
                <w:szCs w:val="19"/>
              </w:rPr>
              <w:t xml:space="preserve"> </w:t>
            </w:r>
            <w:r>
              <w:rPr>
                <w:rFonts w:ascii="仿宋" w:hAnsi="仿宋" w:eastAsia="仿宋" w:cs="仿宋"/>
                <w:spacing w:val="-8"/>
                <w:sz w:val="19"/>
                <w:szCs w:val="19"/>
              </w:rPr>
              <w:t>度</w:t>
            </w:r>
            <w:r>
              <w:rPr>
                <w:rFonts w:ascii="仿宋" w:hAnsi="仿宋" w:eastAsia="仿宋" w:cs="仿宋"/>
                <w:spacing w:val="-51"/>
                <w:sz w:val="19"/>
                <w:szCs w:val="19"/>
              </w:rPr>
              <w:t xml:space="preserve"> </w:t>
            </w:r>
            <w:r>
              <w:rPr>
                <w:rFonts w:ascii="仿宋" w:hAnsi="仿宋" w:eastAsia="仿宋" w:cs="仿宋"/>
                <w:spacing w:val="-8"/>
                <w:sz w:val="19"/>
                <w:szCs w:val="19"/>
              </w:rPr>
              <w:t>工</w:t>
            </w:r>
            <w:r>
              <w:rPr>
                <w:rFonts w:ascii="仿宋" w:hAnsi="仿宋" w:eastAsia="仿宋" w:cs="仿宋"/>
                <w:spacing w:val="-55"/>
                <w:sz w:val="19"/>
                <w:szCs w:val="19"/>
              </w:rPr>
              <w:t xml:space="preserve"> </w:t>
            </w:r>
            <w:r>
              <w:rPr>
                <w:rFonts w:ascii="仿宋" w:hAnsi="仿宋" w:eastAsia="仿宋" w:cs="仿宋"/>
                <w:spacing w:val="-8"/>
                <w:sz w:val="19"/>
                <w:szCs w:val="19"/>
              </w:rPr>
              <w:t>作</w:t>
            </w:r>
            <w:r>
              <w:rPr>
                <w:rFonts w:ascii="仿宋" w:hAnsi="仿宋" w:eastAsia="仿宋" w:cs="仿宋"/>
                <w:spacing w:val="20"/>
                <w:sz w:val="19"/>
                <w:szCs w:val="19"/>
              </w:rPr>
              <w:t xml:space="preserve"> </w:t>
            </w:r>
            <w:r>
              <w:rPr>
                <w:rFonts w:ascii="仿宋" w:hAnsi="仿宋" w:eastAsia="仿宋" w:cs="仿宋"/>
                <w:spacing w:val="-2"/>
                <w:sz w:val="19"/>
                <w:szCs w:val="19"/>
              </w:rPr>
              <w:t>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0"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bottom w:val="nil"/>
            </w:tcBorders>
            <w:vAlign w:val="top"/>
          </w:tcPr>
          <w:p>
            <w:pPr>
              <w:spacing w:line="240" w:lineRule="auto"/>
              <w:jc w:val="left"/>
              <w:rPr>
                <w:rFonts w:ascii="Arial" w:hAnsi="Arial" w:eastAsia="Arial" w:cs="Arial"/>
                <w:sz w:val="21"/>
                <w:szCs w:val="21"/>
              </w:rPr>
            </w:pPr>
          </w:p>
        </w:tc>
        <w:tc>
          <w:tcPr>
            <w:tcW w:w="1129" w:type="dxa"/>
            <w:vAlign w:val="top"/>
          </w:tcPr>
          <w:p>
            <w:pPr>
              <w:spacing w:before="168" w:line="238" w:lineRule="auto"/>
              <w:ind w:left="14" w:right="6" w:firstLine="16"/>
              <w:jc w:val="left"/>
              <w:rPr>
                <w:rFonts w:ascii="仿宋" w:hAnsi="仿宋" w:eastAsia="仿宋" w:cs="仿宋"/>
                <w:sz w:val="21"/>
                <w:szCs w:val="21"/>
              </w:rPr>
            </w:pPr>
            <w:r>
              <w:rPr>
                <w:rFonts w:ascii="仿宋" w:hAnsi="仿宋" w:eastAsia="仿宋" w:cs="仿宋"/>
                <w:spacing w:val="6"/>
                <w:sz w:val="21"/>
                <w:szCs w:val="21"/>
              </w:rPr>
              <w:t>营商环境便</w:t>
            </w:r>
            <w:r>
              <w:rPr>
                <w:rFonts w:ascii="仿宋" w:hAnsi="仿宋" w:eastAsia="仿宋" w:cs="仿宋"/>
                <w:spacing w:val="-82"/>
                <w:sz w:val="21"/>
                <w:szCs w:val="21"/>
              </w:rPr>
              <w:t xml:space="preserve"> </w:t>
            </w:r>
            <w:r>
              <w:rPr>
                <w:rFonts w:ascii="仿宋" w:hAnsi="仿宋" w:eastAsia="仿宋" w:cs="仿宋"/>
                <w:spacing w:val="-1"/>
                <w:sz w:val="21"/>
                <w:szCs w:val="21"/>
              </w:rPr>
              <w:t>利度</w:t>
            </w:r>
          </w:p>
        </w:tc>
        <w:tc>
          <w:tcPr>
            <w:tcW w:w="2361" w:type="dxa"/>
            <w:vAlign w:val="top"/>
          </w:tcPr>
          <w:p>
            <w:pPr>
              <w:spacing w:before="182" w:line="247" w:lineRule="auto"/>
              <w:ind w:left="31" w:right="5" w:hanging="16"/>
              <w:jc w:val="left"/>
              <w:rPr>
                <w:rFonts w:ascii="Times New Roman" w:hAnsi="Times New Roman" w:eastAsia="Times New Roman" w:cs="Times New Roman"/>
                <w:sz w:val="21"/>
                <w:szCs w:val="21"/>
              </w:rPr>
            </w:pPr>
            <w:r>
              <w:rPr>
                <w:rFonts w:ascii="仿宋" w:hAnsi="仿宋" w:eastAsia="仿宋" w:cs="仿宋"/>
                <w:spacing w:val="-10"/>
                <w:w w:val="99"/>
                <w:sz w:val="21"/>
                <w:szCs w:val="21"/>
              </w:rPr>
              <w:t>每减少</w:t>
            </w:r>
            <w:r>
              <w:rPr>
                <w:rFonts w:ascii="仿宋" w:hAnsi="仿宋" w:eastAsia="仿宋" w:cs="仿宋"/>
                <w:spacing w:val="-22"/>
                <w:sz w:val="21"/>
                <w:szCs w:val="21"/>
              </w:rPr>
              <w:t xml:space="preserve"> </w:t>
            </w:r>
            <w:r>
              <w:rPr>
                <w:rFonts w:ascii="Times New Roman" w:hAnsi="Times New Roman" w:eastAsia="Times New Roman" w:cs="Times New Roman"/>
                <w:spacing w:val="-10"/>
                <w:w w:val="99"/>
                <w:sz w:val="21"/>
                <w:szCs w:val="21"/>
              </w:rPr>
              <w:t>1</w:t>
            </w:r>
            <w:r>
              <w:rPr>
                <w:rFonts w:ascii="Times New Roman" w:hAnsi="Times New Roman" w:eastAsia="Times New Roman" w:cs="Times New Roman"/>
                <w:spacing w:val="10"/>
                <w:sz w:val="21"/>
                <w:szCs w:val="21"/>
              </w:rPr>
              <w:t xml:space="preserve"> </w:t>
            </w:r>
            <w:r>
              <w:rPr>
                <w:rFonts w:ascii="仿宋" w:hAnsi="仿宋" w:eastAsia="仿宋" w:cs="仿宋"/>
                <w:spacing w:val="-10"/>
                <w:w w:val="99"/>
                <w:sz w:val="21"/>
                <w:szCs w:val="21"/>
              </w:rPr>
              <w:t>分，扣权重</w:t>
            </w:r>
            <w:r>
              <w:rPr>
                <w:rFonts w:ascii="仿宋" w:hAnsi="仿宋" w:eastAsia="仿宋" w:cs="仿宋"/>
                <w:spacing w:val="8"/>
                <w:sz w:val="21"/>
                <w:szCs w:val="21"/>
              </w:rPr>
              <w:t xml:space="preserve"> </w:t>
            </w:r>
            <w:r>
              <w:rPr>
                <w:rFonts w:ascii="仿宋" w:hAnsi="仿宋" w:eastAsia="仿宋" w:cs="仿宋"/>
                <w:spacing w:val="-10"/>
                <w:w w:val="99"/>
                <w:sz w:val="21"/>
                <w:szCs w:val="21"/>
              </w:rPr>
              <w:t>分的</w:t>
            </w:r>
            <w:r>
              <w:rPr>
                <w:rFonts w:ascii="仿宋" w:hAnsi="仿宋" w:eastAsia="仿宋" w:cs="仿宋"/>
                <w:spacing w:val="-85"/>
                <w:sz w:val="21"/>
                <w:szCs w:val="21"/>
              </w:rPr>
              <w:t xml:space="preserve"> </w:t>
            </w:r>
            <w:r>
              <w:rPr>
                <w:rFonts w:ascii="Times New Roman" w:hAnsi="Times New Roman" w:eastAsia="Times New Roman" w:cs="Times New Roman"/>
                <w:spacing w:val="-5"/>
                <w:sz w:val="21"/>
                <w:szCs w:val="21"/>
              </w:rPr>
              <w:t>10%</w:t>
            </w:r>
          </w:p>
        </w:tc>
        <w:tc>
          <w:tcPr>
            <w:tcW w:w="1729" w:type="dxa"/>
            <w:vAlign w:val="top"/>
          </w:tcPr>
          <w:p>
            <w:pPr>
              <w:spacing w:before="29" w:line="222" w:lineRule="auto"/>
              <w:ind w:left="11" w:right="8"/>
              <w:jc w:val="left"/>
              <w:rPr>
                <w:rFonts w:ascii="仿宋" w:hAnsi="仿宋" w:eastAsia="仿宋" w:cs="仿宋"/>
                <w:sz w:val="21"/>
                <w:szCs w:val="21"/>
              </w:rPr>
            </w:pPr>
            <w:r>
              <w:rPr>
                <w:rFonts w:ascii="仿宋" w:hAnsi="仿宋" w:eastAsia="仿宋" w:cs="仿宋"/>
                <w:spacing w:val="2"/>
                <w:sz w:val="21"/>
                <w:szCs w:val="21"/>
              </w:rPr>
              <w:t>该指标主要考核廊</w:t>
            </w:r>
            <w:r>
              <w:rPr>
                <w:rFonts w:ascii="仿宋" w:hAnsi="仿宋" w:eastAsia="仿宋" w:cs="仿宋"/>
                <w:spacing w:val="-81"/>
                <w:sz w:val="21"/>
                <w:szCs w:val="21"/>
              </w:rPr>
              <w:t xml:space="preserve"> </w:t>
            </w:r>
            <w:r>
              <w:rPr>
                <w:rFonts w:ascii="仿宋" w:hAnsi="仿宋" w:eastAsia="仿宋" w:cs="仿宋"/>
                <w:spacing w:val="2"/>
                <w:sz w:val="21"/>
                <w:szCs w:val="21"/>
              </w:rPr>
              <w:t>坊市营商环境的便</w:t>
            </w:r>
            <w:r>
              <w:rPr>
                <w:rFonts w:ascii="仿宋" w:hAnsi="仿宋" w:eastAsia="仿宋" w:cs="仿宋"/>
                <w:spacing w:val="-80"/>
                <w:sz w:val="21"/>
                <w:szCs w:val="21"/>
              </w:rPr>
              <w:t xml:space="preserve"> </w:t>
            </w:r>
            <w:r>
              <w:rPr>
                <w:rFonts w:ascii="仿宋" w:hAnsi="仿宋" w:eastAsia="仿宋" w:cs="仿宋"/>
                <w:spacing w:val="-1"/>
                <w:sz w:val="21"/>
                <w:szCs w:val="21"/>
              </w:rPr>
              <w:t>利度</w:t>
            </w:r>
          </w:p>
        </w:tc>
        <w:tc>
          <w:tcPr>
            <w:tcW w:w="469" w:type="dxa"/>
            <w:vAlign w:val="top"/>
          </w:tcPr>
          <w:p>
            <w:pPr>
              <w:spacing w:line="240" w:lineRule="auto"/>
              <w:jc w:val="left"/>
              <w:rPr>
                <w:rFonts w:ascii="Arial" w:hAnsi="Arial" w:eastAsia="Arial" w:cs="Arial"/>
                <w:sz w:val="21"/>
                <w:szCs w:val="21"/>
              </w:rPr>
            </w:pPr>
          </w:p>
          <w:p>
            <w:pPr>
              <w:spacing w:before="88" w:line="204" w:lineRule="auto"/>
              <w:ind w:firstLine="176"/>
              <w:jc w:val="left"/>
              <w:rPr>
                <w:rFonts w:ascii="仿宋" w:hAnsi="仿宋" w:eastAsia="仿宋" w:cs="仿宋"/>
                <w:sz w:val="21"/>
                <w:szCs w:val="21"/>
              </w:rPr>
            </w:pPr>
            <w:r>
              <w:rPr>
                <w:rFonts w:ascii="仿宋" w:hAnsi="仿宋" w:eastAsia="仿宋" w:cs="仿宋"/>
                <w:sz w:val="21"/>
                <w:szCs w:val="21"/>
              </w:rPr>
              <w:t>≥</w:t>
            </w:r>
          </w:p>
        </w:tc>
        <w:tc>
          <w:tcPr>
            <w:tcW w:w="661" w:type="dxa"/>
            <w:vAlign w:val="top"/>
          </w:tcPr>
          <w:p>
            <w:pPr>
              <w:spacing w:line="240" w:lineRule="auto"/>
              <w:jc w:val="left"/>
              <w:rPr>
                <w:rFonts w:ascii="Arial" w:hAnsi="Arial" w:eastAsia="Arial" w:cs="Arial"/>
                <w:sz w:val="21"/>
                <w:szCs w:val="21"/>
              </w:rPr>
            </w:pPr>
          </w:p>
          <w:p>
            <w:pPr>
              <w:spacing w:before="99" w:line="204" w:lineRule="auto"/>
              <w:ind w:firstLine="231"/>
              <w:jc w:val="left"/>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80</w:t>
            </w:r>
          </w:p>
        </w:tc>
        <w:tc>
          <w:tcPr>
            <w:tcW w:w="488" w:type="dxa"/>
            <w:vAlign w:val="top"/>
          </w:tcPr>
          <w:p>
            <w:pPr>
              <w:spacing w:before="304" w:line="204" w:lineRule="auto"/>
              <w:ind w:firstLine="142"/>
              <w:jc w:val="left"/>
              <w:rPr>
                <w:rFonts w:ascii="仿宋" w:hAnsi="仿宋" w:eastAsia="仿宋" w:cs="仿宋"/>
                <w:sz w:val="21"/>
                <w:szCs w:val="21"/>
              </w:rPr>
            </w:pPr>
            <w:r>
              <w:rPr>
                <w:rFonts w:ascii="仿宋" w:hAnsi="仿宋" w:eastAsia="仿宋" w:cs="仿宋"/>
                <w:sz w:val="21"/>
                <w:szCs w:val="21"/>
              </w:rPr>
              <w:t>分</w:t>
            </w:r>
          </w:p>
        </w:tc>
        <w:tc>
          <w:tcPr>
            <w:tcW w:w="968" w:type="dxa"/>
            <w:vAlign w:val="top"/>
          </w:tcPr>
          <w:p>
            <w:pPr>
              <w:spacing w:before="168" w:line="238" w:lineRule="auto"/>
              <w:ind w:left="26" w:right="7" w:hanging="11"/>
              <w:jc w:val="left"/>
              <w:rPr>
                <w:rFonts w:ascii="仿宋" w:hAnsi="仿宋" w:eastAsia="仿宋" w:cs="仿宋"/>
                <w:sz w:val="21"/>
                <w:szCs w:val="21"/>
              </w:rPr>
            </w:pPr>
            <w:r>
              <w:rPr>
                <w:rFonts w:ascii="仿宋" w:hAnsi="仿宋" w:eastAsia="仿宋" w:cs="仿宋"/>
                <w:spacing w:val="-10"/>
                <w:sz w:val="21"/>
                <w:szCs w:val="21"/>
              </w:rPr>
              <w:t>年</w:t>
            </w:r>
            <w:r>
              <w:rPr>
                <w:rFonts w:ascii="仿宋" w:hAnsi="仿宋" w:eastAsia="仿宋" w:cs="仿宋"/>
                <w:spacing w:val="-62"/>
                <w:sz w:val="21"/>
                <w:szCs w:val="21"/>
              </w:rPr>
              <w:t xml:space="preserve"> </w:t>
            </w:r>
            <w:r>
              <w:rPr>
                <w:rFonts w:ascii="仿宋" w:hAnsi="仿宋" w:eastAsia="仿宋" w:cs="仿宋"/>
                <w:spacing w:val="-10"/>
                <w:sz w:val="21"/>
                <w:szCs w:val="21"/>
              </w:rPr>
              <w:t>度</w:t>
            </w:r>
            <w:r>
              <w:rPr>
                <w:rFonts w:ascii="仿宋" w:hAnsi="仿宋" w:eastAsia="仿宋" w:cs="仿宋"/>
                <w:spacing w:val="-56"/>
                <w:sz w:val="21"/>
                <w:szCs w:val="21"/>
              </w:rPr>
              <w:t xml:space="preserve"> </w:t>
            </w:r>
            <w:r>
              <w:rPr>
                <w:rFonts w:ascii="仿宋" w:hAnsi="仿宋" w:eastAsia="仿宋" w:cs="仿宋"/>
                <w:spacing w:val="-10"/>
                <w:sz w:val="21"/>
                <w:szCs w:val="21"/>
              </w:rPr>
              <w:t>工</w:t>
            </w:r>
            <w:r>
              <w:rPr>
                <w:rFonts w:ascii="仿宋" w:hAnsi="仿宋" w:eastAsia="仿宋" w:cs="仿宋"/>
                <w:spacing w:val="-61"/>
                <w:sz w:val="21"/>
                <w:szCs w:val="21"/>
              </w:rPr>
              <w:t xml:space="preserve"> </w:t>
            </w:r>
            <w:r>
              <w:rPr>
                <w:rFonts w:ascii="仿宋" w:hAnsi="仿宋" w:eastAsia="仿宋" w:cs="仿宋"/>
                <w:spacing w:val="-10"/>
                <w:sz w:val="21"/>
                <w:szCs w:val="21"/>
              </w:rPr>
              <w:t>作</w:t>
            </w:r>
            <w:r>
              <w:rPr>
                <w:rFonts w:ascii="仿宋" w:hAnsi="仿宋" w:eastAsia="仿宋" w:cs="仿宋"/>
                <w:spacing w:val="-85"/>
                <w:sz w:val="21"/>
                <w:szCs w:val="21"/>
              </w:rPr>
              <w:t xml:space="preserve"> </w:t>
            </w:r>
            <w:r>
              <w:rPr>
                <w:rFonts w:ascii="仿宋" w:hAnsi="仿宋" w:eastAsia="仿宋" w:cs="仿宋"/>
                <w:spacing w:val="-5"/>
                <w:sz w:val="21"/>
                <w:szCs w:val="21"/>
              </w:rPr>
              <w:t>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08"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Merge w:val="continue"/>
            <w:tcBorders>
              <w:top w:val="nil"/>
            </w:tcBorders>
            <w:vAlign w:val="top"/>
          </w:tcPr>
          <w:p>
            <w:pPr>
              <w:spacing w:line="240" w:lineRule="auto"/>
              <w:jc w:val="left"/>
              <w:rPr>
                <w:rFonts w:ascii="Arial" w:hAnsi="Arial" w:eastAsia="Arial" w:cs="Arial"/>
                <w:sz w:val="21"/>
                <w:szCs w:val="21"/>
              </w:rPr>
            </w:pPr>
          </w:p>
        </w:tc>
        <w:tc>
          <w:tcPr>
            <w:tcW w:w="112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30" w:line="238" w:lineRule="auto"/>
              <w:ind w:left="31" w:right="6" w:hanging="14"/>
              <w:jc w:val="left"/>
              <w:rPr>
                <w:rFonts w:ascii="仿宋" w:hAnsi="仿宋" w:eastAsia="仿宋" w:cs="仿宋"/>
                <w:sz w:val="21"/>
                <w:szCs w:val="21"/>
              </w:rPr>
            </w:pPr>
            <w:r>
              <w:rPr>
                <w:rFonts w:ascii="仿宋" w:hAnsi="仿宋" w:eastAsia="仿宋" w:cs="仿宋"/>
                <w:spacing w:val="9"/>
                <w:sz w:val="21"/>
                <w:szCs w:val="21"/>
              </w:rPr>
              <w:t>发布价格信</w:t>
            </w:r>
            <w:r>
              <w:rPr>
                <w:rFonts w:ascii="仿宋" w:hAnsi="仿宋" w:eastAsia="仿宋" w:cs="仿宋"/>
                <w:spacing w:val="-83"/>
                <w:sz w:val="21"/>
                <w:szCs w:val="21"/>
              </w:rPr>
              <w:t xml:space="preserve"> </w:t>
            </w:r>
            <w:r>
              <w:rPr>
                <w:rFonts w:ascii="仿宋" w:hAnsi="仿宋" w:eastAsia="仿宋" w:cs="仿宋"/>
                <w:sz w:val="21"/>
                <w:szCs w:val="21"/>
              </w:rPr>
              <w:t>息</w:t>
            </w:r>
          </w:p>
        </w:tc>
        <w:tc>
          <w:tcPr>
            <w:tcW w:w="2361" w:type="dxa"/>
            <w:vAlign w:val="top"/>
          </w:tcPr>
          <w:p>
            <w:pPr>
              <w:spacing w:before="33" w:line="243" w:lineRule="auto"/>
              <w:ind w:left="13" w:firstLine="1"/>
              <w:jc w:val="left"/>
              <w:rPr>
                <w:rFonts w:ascii="仿宋" w:hAnsi="仿宋" w:eastAsia="仿宋" w:cs="仿宋"/>
                <w:sz w:val="20"/>
                <w:szCs w:val="20"/>
              </w:rPr>
            </w:pPr>
            <w:r>
              <w:rPr>
                <w:rFonts w:ascii="仿宋" w:hAnsi="仿宋" w:eastAsia="仿宋" w:cs="仿宋"/>
                <w:spacing w:val="-3"/>
                <w:sz w:val="20"/>
                <w:szCs w:val="20"/>
              </w:rPr>
              <w:t>达</w:t>
            </w:r>
            <w:r>
              <w:rPr>
                <w:rFonts w:ascii="仿宋" w:hAnsi="仿宋" w:eastAsia="仿宋" w:cs="仿宋"/>
                <w:spacing w:val="-58"/>
                <w:sz w:val="20"/>
                <w:szCs w:val="20"/>
              </w:rPr>
              <w:t xml:space="preserve"> </w:t>
            </w:r>
            <w:r>
              <w:rPr>
                <w:rFonts w:ascii="仿宋" w:hAnsi="仿宋" w:eastAsia="仿宋" w:cs="仿宋"/>
                <w:spacing w:val="-3"/>
                <w:sz w:val="20"/>
                <w:szCs w:val="20"/>
              </w:rPr>
              <w:t>成</w:t>
            </w:r>
            <w:r>
              <w:rPr>
                <w:rFonts w:ascii="仿宋" w:hAnsi="仿宋" w:eastAsia="仿宋" w:cs="仿宋"/>
                <w:spacing w:val="-63"/>
                <w:sz w:val="20"/>
                <w:szCs w:val="20"/>
              </w:rPr>
              <w:t xml:space="preserve"> </w:t>
            </w:r>
            <w:r>
              <w:rPr>
                <w:rFonts w:ascii="仿宋" w:hAnsi="仿宋" w:eastAsia="仿宋" w:cs="仿宋"/>
                <w:spacing w:val="-3"/>
                <w:sz w:val="20"/>
                <w:szCs w:val="20"/>
              </w:rPr>
              <w:t>年</w:t>
            </w:r>
            <w:r>
              <w:rPr>
                <w:rFonts w:ascii="仿宋" w:hAnsi="仿宋" w:eastAsia="仿宋" w:cs="仿宋"/>
                <w:spacing w:val="-65"/>
                <w:sz w:val="20"/>
                <w:szCs w:val="20"/>
              </w:rPr>
              <w:t xml:space="preserve"> </w:t>
            </w:r>
            <w:r>
              <w:rPr>
                <w:rFonts w:ascii="仿宋" w:hAnsi="仿宋" w:eastAsia="仿宋" w:cs="仿宋"/>
                <w:spacing w:val="-3"/>
                <w:sz w:val="20"/>
                <w:szCs w:val="20"/>
              </w:rPr>
              <w:t>度</w:t>
            </w:r>
            <w:r>
              <w:rPr>
                <w:rFonts w:ascii="仿宋" w:hAnsi="仿宋" w:eastAsia="仿宋" w:cs="仿宋"/>
                <w:spacing w:val="-63"/>
                <w:sz w:val="20"/>
                <w:szCs w:val="20"/>
              </w:rPr>
              <w:t xml:space="preserve"> </w:t>
            </w:r>
            <w:r>
              <w:rPr>
                <w:rFonts w:ascii="仿宋" w:hAnsi="仿宋" w:eastAsia="仿宋" w:cs="仿宋"/>
                <w:spacing w:val="-3"/>
                <w:sz w:val="20"/>
                <w:szCs w:val="20"/>
              </w:rPr>
              <w:t>指标</w:t>
            </w:r>
            <w:r>
              <w:rPr>
                <w:rFonts w:ascii="仿宋" w:hAnsi="仿宋" w:eastAsia="仿宋" w:cs="仿宋"/>
                <w:spacing w:val="-61"/>
                <w:sz w:val="20"/>
                <w:szCs w:val="20"/>
              </w:rPr>
              <w:t xml:space="preserve"> </w:t>
            </w:r>
            <w:r>
              <w:rPr>
                <w:rFonts w:ascii="仿宋" w:hAnsi="仿宋" w:eastAsia="仿宋" w:cs="仿宋"/>
                <w:spacing w:val="-3"/>
                <w:sz w:val="20"/>
                <w:szCs w:val="20"/>
              </w:rPr>
              <w:t>得</w:t>
            </w:r>
            <w:r>
              <w:rPr>
                <w:rFonts w:ascii="仿宋" w:hAnsi="仿宋" w:eastAsia="仿宋" w:cs="仿宋"/>
                <w:spacing w:val="49"/>
                <w:sz w:val="20"/>
                <w:szCs w:val="20"/>
              </w:rPr>
              <w:t xml:space="preserve"> </w:t>
            </w:r>
            <w:r>
              <w:rPr>
                <w:rFonts w:ascii="Times New Roman" w:hAnsi="Times New Roman" w:eastAsia="Times New Roman" w:cs="Times New Roman"/>
                <w:spacing w:val="-3"/>
                <w:sz w:val="20"/>
                <w:szCs w:val="20"/>
              </w:rPr>
              <w:t>100%-</w:t>
            </w:r>
            <w:r>
              <w:rPr>
                <w:rFonts w:ascii="Times New Roman" w:hAnsi="Times New Roman" w:eastAsia="Times New Roman" w:cs="Times New Roman"/>
                <w:spacing w:val="10"/>
                <w:w w:val="101"/>
                <w:sz w:val="20"/>
                <w:szCs w:val="20"/>
              </w:rPr>
              <w:t xml:space="preserve">  </w:t>
            </w:r>
            <w:r>
              <w:rPr>
                <w:rFonts w:ascii="Times New Roman" w:hAnsi="Times New Roman" w:eastAsia="Times New Roman" w:cs="Times New Roman"/>
                <w:spacing w:val="-10"/>
                <w:sz w:val="20"/>
                <w:szCs w:val="20"/>
              </w:rPr>
              <w:t>80%</w:t>
            </w:r>
            <w:r>
              <w:rPr>
                <w:rFonts w:ascii="仿宋" w:hAnsi="仿宋" w:eastAsia="仿宋" w:cs="仿宋"/>
                <w:spacing w:val="-10"/>
                <w:sz w:val="20"/>
                <w:szCs w:val="20"/>
              </w:rPr>
              <w:t>（含）权重分、部分达</w:t>
            </w:r>
            <w:r>
              <w:rPr>
                <w:rFonts w:ascii="仿宋" w:hAnsi="仿宋" w:eastAsia="仿宋" w:cs="仿宋"/>
                <w:spacing w:val="22"/>
                <w:sz w:val="20"/>
                <w:szCs w:val="20"/>
              </w:rPr>
              <w:t xml:space="preserve"> </w:t>
            </w:r>
            <w:r>
              <w:rPr>
                <w:rFonts w:ascii="仿宋" w:hAnsi="仿宋" w:eastAsia="仿宋" w:cs="仿宋"/>
                <w:spacing w:val="3"/>
                <w:sz w:val="20"/>
                <w:szCs w:val="20"/>
              </w:rPr>
              <w:t>成年度指标并具有一定效</w:t>
            </w:r>
            <w:r>
              <w:rPr>
                <w:rFonts w:ascii="仿宋" w:hAnsi="仿宋" w:eastAsia="仿宋" w:cs="仿宋"/>
                <w:spacing w:val="26"/>
                <w:sz w:val="20"/>
                <w:szCs w:val="20"/>
              </w:rPr>
              <w:t xml:space="preserve"> </w:t>
            </w:r>
            <w:r>
              <w:rPr>
                <w:rFonts w:ascii="仿宋" w:hAnsi="仿宋" w:eastAsia="仿宋" w:cs="仿宋"/>
                <w:spacing w:val="-5"/>
                <w:sz w:val="20"/>
                <w:szCs w:val="20"/>
              </w:rPr>
              <w:t>果得</w:t>
            </w:r>
            <w:r>
              <w:rPr>
                <w:rFonts w:ascii="仿宋" w:hAnsi="仿宋" w:eastAsia="仿宋" w:cs="仿宋"/>
                <w:spacing w:val="-33"/>
                <w:sz w:val="20"/>
                <w:szCs w:val="20"/>
              </w:rPr>
              <w:t xml:space="preserve"> </w:t>
            </w:r>
            <w:r>
              <w:rPr>
                <w:rFonts w:ascii="Times New Roman" w:hAnsi="Times New Roman" w:eastAsia="Times New Roman" w:cs="Times New Roman"/>
                <w:spacing w:val="-5"/>
                <w:sz w:val="20"/>
                <w:szCs w:val="20"/>
              </w:rPr>
              <w:t>80%-60%</w:t>
            </w:r>
            <w:r>
              <w:rPr>
                <w:rFonts w:ascii="Times New Roman" w:hAnsi="Times New Roman" w:eastAsia="Times New Roman" w:cs="Times New Roman"/>
                <w:spacing w:val="-9"/>
                <w:sz w:val="20"/>
                <w:szCs w:val="20"/>
              </w:rPr>
              <w:t xml:space="preserve"> </w:t>
            </w:r>
            <w:r>
              <w:rPr>
                <w:rFonts w:ascii="仿宋" w:hAnsi="仿宋" w:eastAsia="仿宋" w:cs="仿宋"/>
                <w:spacing w:val="-5"/>
                <w:sz w:val="20"/>
                <w:szCs w:val="20"/>
              </w:rPr>
              <w:t>（含）权重</w:t>
            </w:r>
            <w:r>
              <w:rPr>
                <w:rFonts w:ascii="仿宋" w:hAnsi="仿宋" w:eastAsia="仿宋" w:cs="仿宋"/>
                <w:spacing w:val="21"/>
                <w:sz w:val="20"/>
                <w:szCs w:val="20"/>
              </w:rPr>
              <w:t xml:space="preserve"> </w:t>
            </w:r>
            <w:r>
              <w:rPr>
                <w:rFonts w:ascii="仿宋" w:hAnsi="仿宋" w:eastAsia="仿宋" w:cs="仿宋"/>
                <w:spacing w:val="3"/>
                <w:sz w:val="20"/>
                <w:szCs w:val="20"/>
              </w:rPr>
              <w:t>分、未达成年度指标且效</w:t>
            </w:r>
            <w:r>
              <w:rPr>
                <w:rFonts w:ascii="仿宋" w:hAnsi="仿宋" w:eastAsia="仿宋" w:cs="仿宋"/>
                <w:spacing w:val="26"/>
                <w:sz w:val="20"/>
                <w:szCs w:val="20"/>
              </w:rPr>
              <w:t xml:space="preserve"> </w:t>
            </w:r>
            <w:r>
              <w:rPr>
                <w:rFonts w:ascii="仿宋" w:hAnsi="仿宋" w:eastAsia="仿宋" w:cs="仿宋"/>
                <w:spacing w:val="-4"/>
                <w:sz w:val="20"/>
                <w:szCs w:val="20"/>
              </w:rPr>
              <w:t>果较差三档得</w:t>
            </w:r>
            <w:r>
              <w:rPr>
                <w:rFonts w:ascii="仿宋" w:hAnsi="仿宋" w:eastAsia="仿宋" w:cs="仿宋"/>
                <w:spacing w:val="-38"/>
                <w:sz w:val="20"/>
                <w:szCs w:val="20"/>
              </w:rPr>
              <w:t xml:space="preserve"> </w:t>
            </w:r>
            <w:r>
              <w:rPr>
                <w:rFonts w:ascii="Times New Roman" w:hAnsi="Times New Roman" w:eastAsia="Times New Roman" w:cs="Times New Roman"/>
                <w:spacing w:val="-4"/>
                <w:sz w:val="20"/>
                <w:szCs w:val="20"/>
              </w:rPr>
              <w:t>60%-0</w:t>
            </w:r>
            <w:r>
              <w:rPr>
                <w:rFonts w:ascii="仿宋" w:hAnsi="仿宋" w:eastAsia="仿宋" w:cs="仿宋"/>
                <w:spacing w:val="-4"/>
                <w:sz w:val="20"/>
                <w:szCs w:val="20"/>
              </w:rPr>
              <w:t>（含）</w:t>
            </w:r>
            <w:r>
              <w:rPr>
                <w:rFonts w:ascii="仿宋" w:hAnsi="仿宋" w:eastAsia="仿宋" w:cs="仿宋"/>
                <w:spacing w:val="-80"/>
                <w:sz w:val="20"/>
                <w:szCs w:val="20"/>
              </w:rPr>
              <w:t xml:space="preserve"> </w:t>
            </w:r>
            <w:r>
              <w:rPr>
                <w:rFonts w:ascii="仿宋" w:hAnsi="仿宋" w:eastAsia="仿宋" w:cs="仿宋"/>
                <w:sz w:val="20"/>
                <w:szCs w:val="20"/>
              </w:rPr>
              <w:t>权重分</w:t>
            </w:r>
          </w:p>
        </w:tc>
        <w:tc>
          <w:tcPr>
            <w:tcW w:w="172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94" w:line="239" w:lineRule="auto"/>
              <w:ind w:left="25" w:right="6" w:hanging="6"/>
              <w:jc w:val="left"/>
              <w:rPr>
                <w:rFonts w:ascii="仿宋" w:hAnsi="仿宋" w:eastAsia="仿宋" w:cs="仿宋"/>
                <w:sz w:val="21"/>
                <w:szCs w:val="21"/>
              </w:rPr>
            </w:pPr>
            <w:r>
              <w:rPr>
                <w:rFonts w:ascii="仿宋" w:hAnsi="仿宋" w:eastAsia="仿宋" w:cs="仿宋"/>
                <w:spacing w:val="21"/>
                <w:w w:val="105"/>
                <w:sz w:val="21"/>
                <w:szCs w:val="21"/>
              </w:rPr>
              <w:t>通过发布价格信</w:t>
            </w:r>
            <w:r>
              <w:rPr>
                <w:rFonts w:ascii="仿宋" w:hAnsi="仿宋" w:eastAsia="仿宋" w:cs="仿宋"/>
                <w:spacing w:val="-81"/>
                <w:sz w:val="21"/>
                <w:szCs w:val="21"/>
              </w:rPr>
              <w:t xml:space="preserve"> </w:t>
            </w:r>
            <w:r>
              <w:rPr>
                <w:rFonts w:ascii="仿宋" w:hAnsi="仿宋" w:eastAsia="仿宋" w:cs="仿宋"/>
                <w:spacing w:val="-3"/>
                <w:sz w:val="21"/>
                <w:szCs w:val="21"/>
              </w:rPr>
              <w:t>息，</w:t>
            </w:r>
            <w:r>
              <w:rPr>
                <w:rFonts w:ascii="仿宋" w:hAnsi="仿宋" w:eastAsia="仿宋" w:cs="仿宋"/>
                <w:spacing w:val="-74"/>
                <w:sz w:val="21"/>
                <w:szCs w:val="21"/>
              </w:rPr>
              <w:t xml:space="preserve"> </w:t>
            </w:r>
            <w:r>
              <w:rPr>
                <w:rFonts w:ascii="仿宋" w:hAnsi="仿宋" w:eastAsia="仿宋" w:cs="仿宋"/>
                <w:spacing w:val="-3"/>
                <w:sz w:val="21"/>
                <w:szCs w:val="21"/>
              </w:rPr>
              <w:t>引导市场生产</w:t>
            </w:r>
            <w:r>
              <w:rPr>
                <w:rFonts w:ascii="仿宋" w:hAnsi="仿宋" w:eastAsia="仿宋" w:cs="仿宋"/>
                <w:spacing w:val="-84"/>
                <w:sz w:val="21"/>
                <w:szCs w:val="21"/>
              </w:rPr>
              <w:t xml:space="preserve"> </w:t>
            </w:r>
            <w:r>
              <w:rPr>
                <w:rFonts w:ascii="仿宋" w:hAnsi="仿宋" w:eastAsia="仿宋" w:cs="仿宋"/>
                <w:spacing w:val="-4"/>
                <w:sz w:val="21"/>
                <w:szCs w:val="21"/>
              </w:rPr>
              <w:t>与消费</w:t>
            </w:r>
          </w:p>
        </w:tc>
        <w:tc>
          <w:tcPr>
            <w:tcW w:w="469" w:type="dxa"/>
            <w:vAlign w:val="top"/>
          </w:tcPr>
          <w:p>
            <w:pPr>
              <w:spacing w:line="240" w:lineRule="auto"/>
              <w:jc w:val="left"/>
              <w:rPr>
                <w:rFonts w:ascii="Arial" w:hAnsi="Arial" w:eastAsia="Arial" w:cs="Arial"/>
                <w:sz w:val="21"/>
                <w:szCs w:val="21"/>
              </w:rPr>
            </w:pPr>
          </w:p>
        </w:tc>
        <w:tc>
          <w:tcPr>
            <w:tcW w:w="661"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21" w:line="204" w:lineRule="auto"/>
              <w:ind w:firstLine="118"/>
              <w:jc w:val="left"/>
              <w:rPr>
                <w:rFonts w:ascii="仿宋" w:hAnsi="仿宋" w:eastAsia="仿宋" w:cs="仿宋"/>
                <w:sz w:val="21"/>
                <w:szCs w:val="21"/>
              </w:rPr>
            </w:pPr>
            <w:r>
              <w:rPr>
                <w:rFonts w:ascii="仿宋" w:hAnsi="仿宋" w:eastAsia="仿宋" w:cs="仿宋"/>
                <w:spacing w:val="-1"/>
                <w:sz w:val="21"/>
                <w:szCs w:val="21"/>
              </w:rPr>
              <w:t>保障</w:t>
            </w:r>
          </w:p>
        </w:tc>
        <w:tc>
          <w:tcPr>
            <w:tcW w:w="488" w:type="dxa"/>
            <w:vAlign w:val="top"/>
          </w:tcPr>
          <w:p>
            <w:pPr>
              <w:spacing w:line="240" w:lineRule="auto"/>
              <w:jc w:val="left"/>
              <w:rPr>
                <w:rFonts w:ascii="Arial" w:hAnsi="Arial" w:eastAsia="Arial" w:cs="Arial"/>
                <w:sz w:val="21"/>
                <w:szCs w:val="21"/>
              </w:rPr>
            </w:pPr>
          </w:p>
        </w:tc>
        <w:tc>
          <w:tcPr>
            <w:tcW w:w="968"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30" w:line="238" w:lineRule="auto"/>
              <w:ind w:left="26" w:right="7" w:hanging="11"/>
              <w:jc w:val="left"/>
              <w:rPr>
                <w:rFonts w:ascii="仿宋" w:hAnsi="仿宋" w:eastAsia="仿宋" w:cs="仿宋"/>
                <w:sz w:val="21"/>
                <w:szCs w:val="21"/>
              </w:rPr>
            </w:pPr>
            <w:r>
              <w:rPr>
                <w:rFonts w:ascii="仿宋" w:hAnsi="仿宋" w:eastAsia="仿宋" w:cs="仿宋"/>
                <w:spacing w:val="-10"/>
                <w:sz w:val="21"/>
                <w:szCs w:val="21"/>
              </w:rPr>
              <w:t>年</w:t>
            </w:r>
            <w:r>
              <w:rPr>
                <w:rFonts w:ascii="仿宋" w:hAnsi="仿宋" w:eastAsia="仿宋" w:cs="仿宋"/>
                <w:spacing w:val="-62"/>
                <w:sz w:val="21"/>
                <w:szCs w:val="21"/>
              </w:rPr>
              <w:t xml:space="preserve"> </w:t>
            </w:r>
            <w:r>
              <w:rPr>
                <w:rFonts w:ascii="仿宋" w:hAnsi="仿宋" w:eastAsia="仿宋" w:cs="仿宋"/>
                <w:spacing w:val="-10"/>
                <w:sz w:val="21"/>
                <w:szCs w:val="21"/>
              </w:rPr>
              <w:t>度</w:t>
            </w:r>
            <w:r>
              <w:rPr>
                <w:rFonts w:ascii="仿宋" w:hAnsi="仿宋" w:eastAsia="仿宋" w:cs="仿宋"/>
                <w:spacing w:val="-56"/>
                <w:sz w:val="21"/>
                <w:szCs w:val="21"/>
              </w:rPr>
              <w:t xml:space="preserve"> </w:t>
            </w:r>
            <w:r>
              <w:rPr>
                <w:rFonts w:ascii="仿宋" w:hAnsi="仿宋" w:eastAsia="仿宋" w:cs="仿宋"/>
                <w:spacing w:val="-10"/>
                <w:sz w:val="21"/>
                <w:szCs w:val="21"/>
              </w:rPr>
              <w:t>工</w:t>
            </w:r>
            <w:r>
              <w:rPr>
                <w:rFonts w:ascii="仿宋" w:hAnsi="仿宋" w:eastAsia="仿宋" w:cs="仿宋"/>
                <w:spacing w:val="-61"/>
                <w:sz w:val="21"/>
                <w:szCs w:val="21"/>
              </w:rPr>
              <w:t xml:space="preserve"> </w:t>
            </w:r>
            <w:r>
              <w:rPr>
                <w:rFonts w:ascii="仿宋" w:hAnsi="仿宋" w:eastAsia="仿宋" w:cs="仿宋"/>
                <w:spacing w:val="-10"/>
                <w:sz w:val="21"/>
                <w:szCs w:val="21"/>
              </w:rPr>
              <w:t>作</w:t>
            </w:r>
            <w:r>
              <w:rPr>
                <w:rFonts w:ascii="仿宋" w:hAnsi="仿宋" w:eastAsia="仿宋" w:cs="仿宋"/>
                <w:spacing w:val="-85"/>
                <w:sz w:val="21"/>
                <w:szCs w:val="21"/>
              </w:rPr>
              <w:t xml:space="preserve"> </w:t>
            </w:r>
            <w:r>
              <w:rPr>
                <w:rFonts w:ascii="仿宋" w:hAnsi="仿宋" w:eastAsia="仿宋" w:cs="仿宋"/>
                <w:spacing w:val="-5"/>
                <w:sz w:val="21"/>
                <w:szCs w:val="21"/>
              </w:rPr>
              <w:t>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10" w:hRule="atLeast"/>
        </w:trPr>
        <w:tc>
          <w:tcPr>
            <w:tcW w:w="584" w:type="dxa"/>
            <w:vMerge w:val="continue"/>
            <w:tcBorders>
              <w:top w:val="nil"/>
              <w:bottom w:val="nil"/>
            </w:tcBorders>
            <w:vAlign w:val="top"/>
          </w:tcPr>
          <w:p>
            <w:pPr>
              <w:spacing w:line="240" w:lineRule="auto"/>
              <w:jc w:val="left"/>
              <w:rPr>
                <w:rFonts w:ascii="Arial" w:hAnsi="Arial" w:eastAsia="Arial" w:cs="Arial"/>
                <w:sz w:val="21"/>
                <w:szCs w:val="21"/>
              </w:rPr>
            </w:pPr>
          </w:p>
        </w:tc>
        <w:tc>
          <w:tcPr>
            <w:tcW w:w="680"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27" w:line="241" w:lineRule="auto"/>
              <w:ind w:left="140" w:right="122" w:firstLine="7"/>
              <w:jc w:val="left"/>
              <w:rPr>
                <w:rFonts w:ascii="仿宋" w:hAnsi="仿宋" w:eastAsia="仿宋" w:cs="仿宋"/>
                <w:sz w:val="21"/>
                <w:szCs w:val="21"/>
              </w:rPr>
            </w:pPr>
            <w:r>
              <w:rPr>
                <w:rFonts w:ascii="仿宋" w:hAnsi="仿宋" w:eastAsia="仿宋" w:cs="仿宋"/>
                <w:spacing w:val="-10"/>
                <w:sz w:val="21"/>
                <w:szCs w:val="21"/>
              </w:rPr>
              <w:t>生态</w:t>
            </w:r>
            <w:r>
              <w:rPr>
                <w:rFonts w:ascii="仿宋" w:hAnsi="仿宋" w:eastAsia="仿宋" w:cs="仿宋"/>
                <w:spacing w:val="-85"/>
                <w:sz w:val="21"/>
                <w:szCs w:val="21"/>
              </w:rPr>
              <w:t xml:space="preserve"> </w:t>
            </w:r>
            <w:r>
              <w:rPr>
                <w:rFonts w:ascii="仿宋" w:hAnsi="仿宋" w:eastAsia="仿宋" w:cs="仿宋"/>
                <w:spacing w:val="-6"/>
                <w:sz w:val="21"/>
                <w:szCs w:val="21"/>
              </w:rPr>
              <w:t>效益</w:t>
            </w:r>
          </w:p>
        </w:tc>
        <w:tc>
          <w:tcPr>
            <w:tcW w:w="112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93" w:line="239" w:lineRule="auto"/>
              <w:ind w:left="16" w:right="6" w:hanging="2"/>
              <w:jc w:val="left"/>
              <w:rPr>
                <w:rFonts w:ascii="仿宋" w:hAnsi="仿宋" w:eastAsia="仿宋" w:cs="仿宋"/>
                <w:sz w:val="21"/>
                <w:szCs w:val="21"/>
              </w:rPr>
            </w:pPr>
            <w:r>
              <w:rPr>
                <w:rFonts w:ascii="仿宋" w:hAnsi="仿宋" w:eastAsia="仿宋" w:cs="仿宋"/>
                <w:spacing w:val="9"/>
                <w:sz w:val="21"/>
                <w:szCs w:val="21"/>
              </w:rPr>
              <w:t>促进节能降</w:t>
            </w:r>
            <w:r>
              <w:rPr>
                <w:rFonts w:ascii="仿宋" w:hAnsi="仿宋" w:eastAsia="仿宋" w:cs="仿宋"/>
                <w:spacing w:val="-81"/>
                <w:sz w:val="21"/>
                <w:szCs w:val="21"/>
              </w:rPr>
              <w:t xml:space="preserve"> </w:t>
            </w:r>
            <w:r>
              <w:rPr>
                <w:rFonts w:ascii="仿宋" w:hAnsi="仿宋" w:eastAsia="仿宋" w:cs="仿宋"/>
                <w:spacing w:val="9"/>
                <w:sz w:val="21"/>
                <w:szCs w:val="21"/>
              </w:rPr>
              <w:t>耗、生态建</w:t>
            </w:r>
            <w:r>
              <w:rPr>
                <w:rFonts w:ascii="仿宋" w:hAnsi="仿宋" w:eastAsia="仿宋" w:cs="仿宋"/>
                <w:spacing w:val="-83"/>
                <w:sz w:val="21"/>
                <w:szCs w:val="21"/>
              </w:rPr>
              <w:t xml:space="preserve"> </w:t>
            </w:r>
            <w:r>
              <w:rPr>
                <w:rFonts w:ascii="仿宋" w:hAnsi="仿宋" w:eastAsia="仿宋" w:cs="仿宋"/>
                <w:sz w:val="21"/>
                <w:szCs w:val="21"/>
              </w:rPr>
              <w:t>设</w:t>
            </w:r>
          </w:p>
        </w:tc>
        <w:tc>
          <w:tcPr>
            <w:tcW w:w="2361" w:type="dxa"/>
            <w:vAlign w:val="top"/>
          </w:tcPr>
          <w:p>
            <w:pPr>
              <w:spacing w:before="33" w:line="243" w:lineRule="auto"/>
              <w:ind w:left="13" w:firstLine="1"/>
              <w:jc w:val="left"/>
              <w:rPr>
                <w:rFonts w:ascii="仿宋" w:hAnsi="仿宋" w:eastAsia="仿宋" w:cs="仿宋"/>
                <w:sz w:val="20"/>
                <w:szCs w:val="20"/>
              </w:rPr>
            </w:pPr>
            <w:r>
              <w:rPr>
                <w:rFonts w:ascii="仿宋" w:hAnsi="仿宋" w:eastAsia="仿宋" w:cs="仿宋"/>
                <w:spacing w:val="-3"/>
                <w:sz w:val="20"/>
                <w:szCs w:val="20"/>
              </w:rPr>
              <w:t>达</w:t>
            </w:r>
            <w:r>
              <w:rPr>
                <w:rFonts w:ascii="仿宋" w:hAnsi="仿宋" w:eastAsia="仿宋" w:cs="仿宋"/>
                <w:spacing w:val="-58"/>
                <w:sz w:val="20"/>
                <w:szCs w:val="20"/>
              </w:rPr>
              <w:t xml:space="preserve"> </w:t>
            </w:r>
            <w:r>
              <w:rPr>
                <w:rFonts w:ascii="仿宋" w:hAnsi="仿宋" w:eastAsia="仿宋" w:cs="仿宋"/>
                <w:spacing w:val="-3"/>
                <w:sz w:val="20"/>
                <w:szCs w:val="20"/>
              </w:rPr>
              <w:t>成</w:t>
            </w:r>
            <w:r>
              <w:rPr>
                <w:rFonts w:ascii="仿宋" w:hAnsi="仿宋" w:eastAsia="仿宋" w:cs="仿宋"/>
                <w:spacing w:val="-63"/>
                <w:sz w:val="20"/>
                <w:szCs w:val="20"/>
              </w:rPr>
              <w:t xml:space="preserve"> </w:t>
            </w:r>
            <w:r>
              <w:rPr>
                <w:rFonts w:ascii="仿宋" w:hAnsi="仿宋" w:eastAsia="仿宋" w:cs="仿宋"/>
                <w:spacing w:val="-3"/>
                <w:sz w:val="20"/>
                <w:szCs w:val="20"/>
              </w:rPr>
              <w:t>年</w:t>
            </w:r>
            <w:r>
              <w:rPr>
                <w:rFonts w:ascii="仿宋" w:hAnsi="仿宋" w:eastAsia="仿宋" w:cs="仿宋"/>
                <w:spacing w:val="-65"/>
                <w:sz w:val="20"/>
                <w:szCs w:val="20"/>
              </w:rPr>
              <w:t xml:space="preserve"> </w:t>
            </w:r>
            <w:r>
              <w:rPr>
                <w:rFonts w:ascii="仿宋" w:hAnsi="仿宋" w:eastAsia="仿宋" w:cs="仿宋"/>
                <w:spacing w:val="-3"/>
                <w:sz w:val="20"/>
                <w:szCs w:val="20"/>
              </w:rPr>
              <w:t>度</w:t>
            </w:r>
            <w:r>
              <w:rPr>
                <w:rFonts w:ascii="仿宋" w:hAnsi="仿宋" w:eastAsia="仿宋" w:cs="仿宋"/>
                <w:spacing w:val="-63"/>
                <w:sz w:val="20"/>
                <w:szCs w:val="20"/>
              </w:rPr>
              <w:t xml:space="preserve"> </w:t>
            </w:r>
            <w:r>
              <w:rPr>
                <w:rFonts w:ascii="仿宋" w:hAnsi="仿宋" w:eastAsia="仿宋" w:cs="仿宋"/>
                <w:spacing w:val="-3"/>
                <w:sz w:val="20"/>
                <w:szCs w:val="20"/>
              </w:rPr>
              <w:t>指标</w:t>
            </w:r>
            <w:r>
              <w:rPr>
                <w:rFonts w:ascii="仿宋" w:hAnsi="仿宋" w:eastAsia="仿宋" w:cs="仿宋"/>
                <w:spacing w:val="-61"/>
                <w:sz w:val="20"/>
                <w:szCs w:val="20"/>
              </w:rPr>
              <w:t xml:space="preserve"> </w:t>
            </w:r>
            <w:r>
              <w:rPr>
                <w:rFonts w:ascii="仿宋" w:hAnsi="仿宋" w:eastAsia="仿宋" w:cs="仿宋"/>
                <w:spacing w:val="-3"/>
                <w:sz w:val="20"/>
                <w:szCs w:val="20"/>
              </w:rPr>
              <w:t>得</w:t>
            </w:r>
            <w:r>
              <w:rPr>
                <w:rFonts w:ascii="仿宋" w:hAnsi="仿宋" w:eastAsia="仿宋" w:cs="仿宋"/>
                <w:spacing w:val="49"/>
                <w:sz w:val="20"/>
                <w:szCs w:val="20"/>
              </w:rPr>
              <w:t xml:space="preserve"> </w:t>
            </w:r>
            <w:r>
              <w:rPr>
                <w:rFonts w:ascii="Times New Roman" w:hAnsi="Times New Roman" w:eastAsia="Times New Roman" w:cs="Times New Roman"/>
                <w:spacing w:val="-3"/>
                <w:sz w:val="20"/>
                <w:szCs w:val="20"/>
              </w:rPr>
              <w:t>100%-</w:t>
            </w:r>
            <w:r>
              <w:rPr>
                <w:rFonts w:ascii="Times New Roman" w:hAnsi="Times New Roman" w:eastAsia="Times New Roman" w:cs="Times New Roman"/>
                <w:spacing w:val="10"/>
                <w:w w:val="101"/>
                <w:sz w:val="20"/>
                <w:szCs w:val="20"/>
              </w:rPr>
              <w:t xml:space="preserve">  </w:t>
            </w:r>
            <w:r>
              <w:rPr>
                <w:rFonts w:ascii="Times New Roman" w:hAnsi="Times New Roman" w:eastAsia="Times New Roman" w:cs="Times New Roman"/>
                <w:spacing w:val="-10"/>
                <w:sz w:val="20"/>
                <w:szCs w:val="20"/>
              </w:rPr>
              <w:t>80%</w:t>
            </w:r>
            <w:r>
              <w:rPr>
                <w:rFonts w:ascii="仿宋" w:hAnsi="仿宋" w:eastAsia="仿宋" w:cs="仿宋"/>
                <w:spacing w:val="-10"/>
                <w:sz w:val="20"/>
                <w:szCs w:val="20"/>
              </w:rPr>
              <w:t>（含）权重分、部分达</w:t>
            </w:r>
            <w:r>
              <w:rPr>
                <w:rFonts w:ascii="仿宋" w:hAnsi="仿宋" w:eastAsia="仿宋" w:cs="仿宋"/>
                <w:spacing w:val="22"/>
                <w:sz w:val="20"/>
                <w:szCs w:val="20"/>
              </w:rPr>
              <w:t xml:space="preserve"> </w:t>
            </w:r>
            <w:r>
              <w:rPr>
                <w:rFonts w:ascii="仿宋" w:hAnsi="仿宋" w:eastAsia="仿宋" w:cs="仿宋"/>
                <w:spacing w:val="3"/>
                <w:sz w:val="20"/>
                <w:szCs w:val="20"/>
              </w:rPr>
              <w:t>成年度指标并具有一定效</w:t>
            </w:r>
            <w:r>
              <w:rPr>
                <w:rFonts w:ascii="仿宋" w:hAnsi="仿宋" w:eastAsia="仿宋" w:cs="仿宋"/>
                <w:spacing w:val="26"/>
                <w:sz w:val="20"/>
                <w:szCs w:val="20"/>
              </w:rPr>
              <w:t xml:space="preserve"> </w:t>
            </w:r>
            <w:r>
              <w:rPr>
                <w:rFonts w:ascii="仿宋" w:hAnsi="仿宋" w:eastAsia="仿宋" w:cs="仿宋"/>
                <w:spacing w:val="-5"/>
                <w:sz w:val="20"/>
                <w:szCs w:val="20"/>
              </w:rPr>
              <w:t>果得</w:t>
            </w:r>
            <w:r>
              <w:rPr>
                <w:rFonts w:ascii="仿宋" w:hAnsi="仿宋" w:eastAsia="仿宋" w:cs="仿宋"/>
                <w:spacing w:val="-33"/>
                <w:sz w:val="20"/>
                <w:szCs w:val="20"/>
              </w:rPr>
              <w:t xml:space="preserve"> </w:t>
            </w:r>
            <w:r>
              <w:rPr>
                <w:rFonts w:ascii="Times New Roman" w:hAnsi="Times New Roman" w:eastAsia="Times New Roman" w:cs="Times New Roman"/>
                <w:spacing w:val="-5"/>
                <w:sz w:val="20"/>
                <w:szCs w:val="20"/>
              </w:rPr>
              <w:t>80%-60%</w:t>
            </w:r>
            <w:r>
              <w:rPr>
                <w:rFonts w:ascii="Times New Roman" w:hAnsi="Times New Roman" w:eastAsia="Times New Roman" w:cs="Times New Roman"/>
                <w:spacing w:val="-9"/>
                <w:sz w:val="20"/>
                <w:szCs w:val="20"/>
              </w:rPr>
              <w:t xml:space="preserve"> </w:t>
            </w:r>
            <w:r>
              <w:rPr>
                <w:rFonts w:ascii="仿宋" w:hAnsi="仿宋" w:eastAsia="仿宋" w:cs="仿宋"/>
                <w:spacing w:val="-5"/>
                <w:sz w:val="20"/>
                <w:szCs w:val="20"/>
              </w:rPr>
              <w:t>（含）权重</w:t>
            </w:r>
            <w:r>
              <w:rPr>
                <w:rFonts w:ascii="仿宋" w:hAnsi="仿宋" w:eastAsia="仿宋" w:cs="仿宋"/>
                <w:spacing w:val="21"/>
                <w:sz w:val="20"/>
                <w:szCs w:val="20"/>
              </w:rPr>
              <w:t xml:space="preserve"> </w:t>
            </w:r>
            <w:r>
              <w:rPr>
                <w:rFonts w:ascii="仿宋" w:hAnsi="仿宋" w:eastAsia="仿宋" w:cs="仿宋"/>
                <w:spacing w:val="3"/>
                <w:sz w:val="20"/>
                <w:szCs w:val="20"/>
              </w:rPr>
              <w:t>分、未达成年度指标且效</w:t>
            </w:r>
            <w:r>
              <w:rPr>
                <w:rFonts w:ascii="仿宋" w:hAnsi="仿宋" w:eastAsia="仿宋" w:cs="仿宋"/>
                <w:spacing w:val="26"/>
                <w:sz w:val="20"/>
                <w:szCs w:val="20"/>
              </w:rPr>
              <w:t xml:space="preserve"> </w:t>
            </w:r>
            <w:r>
              <w:rPr>
                <w:rFonts w:ascii="仿宋" w:hAnsi="仿宋" w:eastAsia="仿宋" w:cs="仿宋"/>
                <w:spacing w:val="-4"/>
                <w:sz w:val="20"/>
                <w:szCs w:val="20"/>
              </w:rPr>
              <w:t>果较差三档得</w:t>
            </w:r>
            <w:r>
              <w:rPr>
                <w:rFonts w:ascii="仿宋" w:hAnsi="仿宋" w:eastAsia="仿宋" w:cs="仿宋"/>
                <w:spacing w:val="-38"/>
                <w:sz w:val="20"/>
                <w:szCs w:val="20"/>
              </w:rPr>
              <w:t xml:space="preserve"> </w:t>
            </w:r>
            <w:r>
              <w:rPr>
                <w:rFonts w:ascii="Times New Roman" w:hAnsi="Times New Roman" w:eastAsia="Times New Roman" w:cs="Times New Roman"/>
                <w:spacing w:val="-4"/>
                <w:sz w:val="20"/>
                <w:szCs w:val="20"/>
              </w:rPr>
              <w:t>60%-0</w:t>
            </w:r>
            <w:r>
              <w:rPr>
                <w:rFonts w:ascii="仿宋" w:hAnsi="仿宋" w:eastAsia="仿宋" w:cs="仿宋"/>
                <w:spacing w:val="-4"/>
                <w:sz w:val="20"/>
                <w:szCs w:val="20"/>
              </w:rPr>
              <w:t>（含）</w:t>
            </w:r>
            <w:r>
              <w:rPr>
                <w:rFonts w:ascii="仿宋" w:hAnsi="仿宋" w:eastAsia="仿宋" w:cs="仿宋"/>
                <w:spacing w:val="-80"/>
                <w:sz w:val="20"/>
                <w:szCs w:val="20"/>
              </w:rPr>
              <w:t xml:space="preserve"> </w:t>
            </w:r>
            <w:r>
              <w:rPr>
                <w:rFonts w:ascii="仿宋" w:hAnsi="仿宋" w:eastAsia="仿宋" w:cs="仿宋"/>
                <w:sz w:val="20"/>
                <w:szCs w:val="20"/>
              </w:rPr>
              <w:t>权重分</w:t>
            </w:r>
          </w:p>
        </w:tc>
        <w:tc>
          <w:tcPr>
            <w:tcW w:w="1729"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93" w:line="239" w:lineRule="auto"/>
              <w:ind w:left="11" w:right="8"/>
              <w:jc w:val="left"/>
              <w:rPr>
                <w:rFonts w:ascii="仿宋" w:hAnsi="仿宋" w:eastAsia="仿宋" w:cs="仿宋"/>
                <w:sz w:val="21"/>
                <w:szCs w:val="21"/>
              </w:rPr>
            </w:pPr>
            <w:r>
              <w:rPr>
                <w:rFonts w:ascii="仿宋" w:hAnsi="仿宋" w:eastAsia="仿宋" w:cs="仿宋"/>
                <w:spacing w:val="2"/>
                <w:sz w:val="21"/>
                <w:szCs w:val="21"/>
              </w:rPr>
              <w:t>促进节能降耗、资</w:t>
            </w:r>
            <w:r>
              <w:rPr>
                <w:rFonts w:ascii="仿宋" w:hAnsi="仿宋" w:eastAsia="仿宋" w:cs="仿宋"/>
                <w:spacing w:val="-80"/>
                <w:sz w:val="21"/>
                <w:szCs w:val="21"/>
              </w:rPr>
              <w:t xml:space="preserve"> </w:t>
            </w:r>
            <w:r>
              <w:rPr>
                <w:rFonts w:ascii="仿宋" w:hAnsi="仿宋" w:eastAsia="仿宋" w:cs="仿宋"/>
                <w:spacing w:val="2"/>
                <w:sz w:val="21"/>
                <w:szCs w:val="21"/>
              </w:rPr>
              <w:t>源综合利用和生态</w:t>
            </w:r>
            <w:r>
              <w:rPr>
                <w:rFonts w:ascii="仿宋" w:hAnsi="仿宋" w:eastAsia="仿宋" w:cs="仿宋"/>
                <w:spacing w:val="-81"/>
                <w:sz w:val="21"/>
                <w:szCs w:val="21"/>
              </w:rPr>
              <w:t xml:space="preserve"> </w:t>
            </w:r>
            <w:r>
              <w:rPr>
                <w:rFonts w:ascii="仿宋" w:hAnsi="仿宋" w:eastAsia="仿宋" w:cs="仿宋"/>
                <w:spacing w:val="-2"/>
                <w:sz w:val="21"/>
                <w:szCs w:val="21"/>
              </w:rPr>
              <w:t>建设</w:t>
            </w:r>
          </w:p>
        </w:tc>
        <w:tc>
          <w:tcPr>
            <w:tcW w:w="469" w:type="dxa"/>
            <w:vAlign w:val="top"/>
          </w:tcPr>
          <w:p>
            <w:pPr>
              <w:spacing w:line="240" w:lineRule="auto"/>
              <w:jc w:val="left"/>
              <w:rPr>
                <w:rFonts w:ascii="Arial" w:hAnsi="Arial" w:eastAsia="Arial" w:cs="Arial"/>
                <w:sz w:val="21"/>
                <w:szCs w:val="21"/>
              </w:rPr>
            </w:pPr>
          </w:p>
        </w:tc>
        <w:tc>
          <w:tcPr>
            <w:tcW w:w="661"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123" w:line="204" w:lineRule="auto"/>
              <w:ind w:firstLine="119"/>
              <w:jc w:val="left"/>
              <w:rPr>
                <w:rFonts w:ascii="仿宋" w:hAnsi="仿宋" w:eastAsia="仿宋" w:cs="仿宋"/>
                <w:sz w:val="21"/>
                <w:szCs w:val="21"/>
              </w:rPr>
            </w:pPr>
            <w:r>
              <w:rPr>
                <w:rFonts w:ascii="仿宋" w:hAnsi="仿宋" w:eastAsia="仿宋" w:cs="仿宋"/>
                <w:spacing w:val="-2"/>
                <w:sz w:val="21"/>
                <w:szCs w:val="21"/>
              </w:rPr>
              <w:t>提高</w:t>
            </w:r>
          </w:p>
        </w:tc>
        <w:tc>
          <w:tcPr>
            <w:tcW w:w="488" w:type="dxa"/>
            <w:vAlign w:val="top"/>
          </w:tcPr>
          <w:p>
            <w:pPr>
              <w:spacing w:line="240" w:lineRule="auto"/>
              <w:jc w:val="left"/>
              <w:rPr>
                <w:rFonts w:ascii="Arial" w:hAnsi="Arial" w:eastAsia="Arial" w:cs="Arial"/>
                <w:sz w:val="21"/>
                <w:szCs w:val="21"/>
              </w:rPr>
            </w:pPr>
          </w:p>
        </w:tc>
        <w:tc>
          <w:tcPr>
            <w:tcW w:w="968" w:type="dxa"/>
            <w:vAlign w:val="top"/>
          </w:tcPr>
          <w:p>
            <w:pPr>
              <w:spacing w:line="240" w:lineRule="auto"/>
              <w:jc w:val="left"/>
              <w:rPr>
                <w:rFonts w:ascii="Arial" w:hAnsi="Arial" w:eastAsia="Arial" w:cs="Arial"/>
                <w:sz w:val="21"/>
                <w:szCs w:val="21"/>
              </w:rPr>
            </w:pPr>
          </w:p>
          <w:p>
            <w:pPr>
              <w:spacing w:line="240" w:lineRule="auto"/>
              <w:jc w:val="left"/>
              <w:rPr>
                <w:rFonts w:ascii="Arial" w:hAnsi="Arial" w:eastAsia="Arial" w:cs="Arial"/>
                <w:sz w:val="21"/>
                <w:szCs w:val="21"/>
              </w:rPr>
            </w:pPr>
          </w:p>
          <w:p>
            <w:pPr>
              <w:spacing w:before="227" w:line="241" w:lineRule="auto"/>
              <w:ind w:left="26" w:right="7" w:hanging="11"/>
              <w:jc w:val="left"/>
              <w:rPr>
                <w:rFonts w:ascii="仿宋" w:hAnsi="仿宋" w:eastAsia="仿宋" w:cs="仿宋"/>
                <w:sz w:val="21"/>
                <w:szCs w:val="21"/>
              </w:rPr>
            </w:pPr>
            <w:r>
              <w:rPr>
                <w:rFonts w:ascii="仿宋" w:hAnsi="仿宋" w:eastAsia="仿宋" w:cs="仿宋"/>
                <w:spacing w:val="-10"/>
                <w:sz w:val="21"/>
                <w:szCs w:val="21"/>
              </w:rPr>
              <w:t>年</w:t>
            </w:r>
            <w:r>
              <w:rPr>
                <w:rFonts w:ascii="仿宋" w:hAnsi="仿宋" w:eastAsia="仿宋" w:cs="仿宋"/>
                <w:spacing w:val="-62"/>
                <w:sz w:val="21"/>
                <w:szCs w:val="21"/>
              </w:rPr>
              <w:t xml:space="preserve"> </w:t>
            </w:r>
            <w:r>
              <w:rPr>
                <w:rFonts w:ascii="仿宋" w:hAnsi="仿宋" w:eastAsia="仿宋" w:cs="仿宋"/>
                <w:spacing w:val="-10"/>
                <w:sz w:val="21"/>
                <w:szCs w:val="21"/>
              </w:rPr>
              <w:t>终</w:t>
            </w:r>
            <w:r>
              <w:rPr>
                <w:rFonts w:ascii="仿宋" w:hAnsi="仿宋" w:eastAsia="仿宋" w:cs="仿宋"/>
                <w:spacing w:val="-56"/>
                <w:sz w:val="21"/>
                <w:szCs w:val="21"/>
              </w:rPr>
              <w:t xml:space="preserve"> </w:t>
            </w:r>
            <w:r>
              <w:rPr>
                <w:rFonts w:ascii="仿宋" w:hAnsi="仿宋" w:eastAsia="仿宋" w:cs="仿宋"/>
                <w:spacing w:val="-10"/>
                <w:sz w:val="21"/>
                <w:szCs w:val="21"/>
              </w:rPr>
              <w:t>工</w:t>
            </w:r>
            <w:r>
              <w:rPr>
                <w:rFonts w:ascii="仿宋" w:hAnsi="仿宋" w:eastAsia="仿宋" w:cs="仿宋"/>
                <w:spacing w:val="-61"/>
                <w:sz w:val="21"/>
                <w:szCs w:val="21"/>
              </w:rPr>
              <w:t xml:space="preserve"> </w:t>
            </w:r>
            <w:r>
              <w:rPr>
                <w:rFonts w:ascii="仿宋" w:hAnsi="仿宋" w:eastAsia="仿宋" w:cs="仿宋"/>
                <w:spacing w:val="-10"/>
                <w:sz w:val="21"/>
                <w:szCs w:val="21"/>
              </w:rPr>
              <w:t>作</w:t>
            </w:r>
            <w:r>
              <w:rPr>
                <w:rFonts w:ascii="仿宋" w:hAnsi="仿宋" w:eastAsia="仿宋" w:cs="仿宋"/>
                <w:spacing w:val="-85"/>
                <w:sz w:val="21"/>
                <w:szCs w:val="21"/>
              </w:rPr>
              <w:t xml:space="preserve"> </w:t>
            </w:r>
            <w:r>
              <w:rPr>
                <w:rFonts w:ascii="仿宋" w:hAnsi="仿宋" w:eastAsia="仿宋" w:cs="仿宋"/>
                <w:spacing w:val="-5"/>
                <w:sz w:val="21"/>
                <w:szCs w:val="21"/>
              </w:rPr>
              <w:t>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47" w:hRule="atLeast"/>
        </w:trPr>
        <w:tc>
          <w:tcPr>
            <w:tcW w:w="584" w:type="dxa"/>
            <w:vMerge w:val="continue"/>
            <w:tcBorders>
              <w:top w:val="nil"/>
            </w:tcBorders>
            <w:vAlign w:val="top"/>
          </w:tcPr>
          <w:p>
            <w:pPr>
              <w:spacing w:line="240" w:lineRule="auto"/>
              <w:jc w:val="left"/>
              <w:rPr>
                <w:rFonts w:ascii="Arial" w:hAnsi="Arial" w:eastAsia="Arial" w:cs="Arial"/>
                <w:sz w:val="21"/>
                <w:szCs w:val="21"/>
              </w:rPr>
            </w:pPr>
          </w:p>
        </w:tc>
        <w:tc>
          <w:tcPr>
            <w:tcW w:w="680" w:type="dxa"/>
            <w:vAlign w:val="top"/>
          </w:tcPr>
          <w:p>
            <w:pPr>
              <w:spacing w:before="166" w:line="204" w:lineRule="auto"/>
              <w:ind w:firstLine="38"/>
              <w:jc w:val="left"/>
              <w:rPr>
                <w:rFonts w:ascii="仿宋" w:hAnsi="仿宋" w:eastAsia="仿宋" w:cs="仿宋"/>
                <w:sz w:val="21"/>
                <w:szCs w:val="21"/>
              </w:rPr>
            </w:pPr>
            <w:r>
              <w:rPr>
                <w:rFonts w:ascii="仿宋" w:hAnsi="仿宋" w:eastAsia="仿宋" w:cs="仿宋"/>
                <w:spacing w:val="-4"/>
                <w:sz w:val="21"/>
                <w:szCs w:val="21"/>
              </w:rPr>
              <w:t>满意度</w:t>
            </w:r>
          </w:p>
        </w:tc>
        <w:tc>
          <w:tcPr>
            <w:tcW w:w="1129" w:type="dxa"/>
            <w:vAlign w:val="top"/>
          </w:tcPr>
          <w:p>
            <w:pPr>
              <w:spacing w:before="29" w:line="212" w:lineRule="auto"/>
              <w:ind w:left="30" w:right="6" w:hanging="4"/>
              <w:jc w:val="left"/>
              <w:rPr>
                <w:rFonts w:ascii="仿宋" w:hAnsi="仿宋" w:eastAsia="仿宋" w:cs="仿宋"/>
                <w:sz w:val="21"/>
                <w:szCs w:val="21"/>
              </w:rPr>
            </w:pPr>
            <w:r>
              <w:rPr>
                <w:rFonts w:ascii="仿宋" w:hAnsi="仿宋" w:eastAsia="仿宋" w:cs="仿宋"/>
                <w:spacing w:val="7"/>
                <w:sz w:val="21"/>
                <w:szCs w:val="21"/>
              </w:rPr>
              <w:t>受益群体满</w:t>
            </w:r>
            <w:r>
              <w:rPr>
                <w:rFonts w:ascii="仿宋" w:hAnsi="仿宋" w:eastAsia="仿宋" w:cs="仿宋"/>
                <w:spacing w:val="-82"/>
                <w:sz w:val="21"/>
                <w:szCs w:val="21"/>
              </w:rPr>
              <w:t xml:space="preserve"> </w:t>
            </w:r>
            <w:r>
              <w:rPr>
                <w:rFonts w:ascii="仿宋" w:hAnsi="仿宋" w:eastAsia="仿宋" w:cs="仿宋"/>
                <w:spacing w:val="-5"/>
                <w:sz w:val="21"/>
                <w:szCs w:val="21"/>
              </w:rPr>
              <w:t>意度</w:t>
            </w:r>
          </w:p>
        </w:tc>
        <w:tc>
          <w:tcPr>
            <w:tcW w:w="2361" w:type="dxa"/>
            <w:vAlign w:val="top"/>
          </w:tcPr>
          <w:p>
            <w:pPr>
              <w:spacing w:before="44" w:line="207" w:lineRule="auto"/>
              <w:ind w:left="31" w:right="5" w:hanging="16"/>
              <w:jc w:val="left"/>
              <w:rPr>
                <w:rFonts w:ascii="Times New Roman" w:hAnsi="Times New Roman" w:eastAsia="Times New Roman" w:cs="Times New Roman"/>
                <w:sz w:val="21"/>
                <w:szCs w:val="21"/>
              </w:rPr>
            </w:pPr>
            <w:r>
              <w:rPr>
                <w:rFonts w:ascii="仿宋" w:hAnsi="仿宋" w:eastAsia="仿宋" w:cs="仿宋"/>
                <w:spacing w:val="-11"/>
                <w:sz w:val="21"/>
                <w:szCs w:val="21"/>
              </w:rPr>
              <w:t>每降低</w:t>
            </w:r>
            <w:r>
              <w:rPr>
                <w:rFonts w:ascii="仿宋" w:hAnsi="仿宋" w:eastAsia="仿宋" w:cs="仿宋"/>
                <w:spacing w:val="-22"/>
                <w:sz w:val="21"/>
                <w:szCs w:val="21"/>
              </w:rPr>
              <w:t xml:space="preserve"> </w:t>
            </w:r>
            <w:r>
              <w:rPr>
                <w:rFonts w:ascii="Times New Roman" w:hAnsi="Times New Roman" w:eastAsia="Times New Roman" w:cs="Times New Roman"/>
                <w:spacing w:val="-11"/>
                <w:sz w:val="21"/>
                <w:szCs w:val="21"/>
              </w:rPr>
              <w:t>1%</w:t>
            </w:r>
            <w:r>
              <w:rPr>
                <w:rFonts w:ascii="仿宋" w:hAnsi="仿宋" w:eastAsia="仿宋" w:cs="仿宋"/>
                <w:spacing w:val="-11"/>
                <w:sz w:val="21"/>
                <w:szCs w:val="21"/>
              </w:rPr>
              <w:t>，扣除权重分的</w:t>
            </w:r>
            <w:r>
              <w:rPr>
                <w:rFonts w:ascii="仿宋" w:hAnsi="仿宋" w:eastAsia="仿宋" w:cs="仿宋"/>
                <w:spacing w:val="-85"/>
                <w:sz w:val="21"/>
                <w:szCs w:val="21"/>
              </w:rPr>
              <w:t xml:space="preserve"> </w:t>
            </w:r>
            <w:r>
              <w:rPr>
                <w:rFonts w:ascii="Times New Roman" w:hAnsi="Times New Roman" w:eastAsia="Times New Roman" w:cs="Times New Roman"/>
                <w:spacing w:val="-5"/>
                <w:sz w:val="21"/>
                <w:szCs w:val="21"/>
              </w:rPr>
              <w:t>10%</w:t>
            </w:r>
          </w:p>
        </w:tc>
        <w:tc>
          <w:tcPr>
            <w:tcW w:w="1729" w:type="dxa"/>
            <w:vAlign w:val="top"/>
          </w:tcPr>
          <w:p>
            <w:pPr>
              <w:spacing w:before="29" w:line="212" w:lineRule="auto"/>
              <w:ind w:left="12" w:right="8" w:hanging="1"/>
              <w:jc w:val="left"/>
              <w:rPr>
                <w:rFonts w:ascii="仿宋" w:hAnsi="仿宋" w:eastAsia="仿宋" w:cs="仿宋"/>
                <w:sz w:val="21"/>
                <w:szCs w:val="21"/>
              </w:rPr>
            </w:pPr>
            <w:r>
              <w:rPr>
                <w:rFonts w:ascii="仿宋" w:hAnsi="仿宋" w:eastAsia="仿宋" w:cs="仿宋"/>
                <w:spacing w:val="2"/>
                <w:sz w:val="21"/>
                <w:szCs w:val="21"/>
              </w:rPr>
              <w:t>相关受益群体满意</w:t>
            </w:r>
            <w:r>
              <w:rPr>
                <w:rFonts w:ascii="仿宋" w:hAnsi="仿宋" w:eastAsia="仿宋" w:cs="仿宋"/>
                <w:spacing w:val="-80"/>
                <w:sz w:val="21"/>
                <w:szCs w:val="21"/>
              </w:rPr>
              <w:t xml:space="preserve"> </w:t>
            </w:r>
            <w:r>
              <w:rPr>
                <w:rFonts w:ascii="仿宋" w:hAnsi="仿宋" w:eastAsia="仿宋" w:cs="仿宋"/>
                <w:sz w:val="21"/>
                <w:szCs w:val="21"/>
              </w:rPr>
              <w:t>度</w:t>
            </w:r>
          </w:p>
        </w:tc>
        <w:tc>
          <w:tcPr>
            <w:tcW w:w="469" w:type="dxa"/>
            <w:vAlign w:val="top"/>
          </w:tcPr>
          <w:p>
            <w:pPr>
              <w:spacing w:before="192" w:line="204" w:lineRule="auto"/>
              <w:ind w:firstLine="176"/>
              <w:jc w:val="left"/>
              <w:rPr>
                <w:rFonts w:ascii="仿宋" w:hAnsi="仿宋" w:eastAsia="仿宋" w:cs="仿宋"/>
                <w:sz w:val="21"/>
                <w:szCs w:val="21"/>
              </w:rPr>
            </w:pPr>
            <w:r>
              <w:rPr>
                <w:rFonts w:ascii="仿宋" w:hAnsi="仿宋" w:eastAsia="仿宋" w:cs="仿宋"/>
                <w:sz w:val="21"/>
                <w:szCs w:val="21"/>
              </w:rPr>
              <w:t>≥</w:t>
            </w:r>
          </w:p>
        </w:tc>
        <w:tc>
          <w:tcPr>
            <w:tcW w:w="661" w:type="dxa"/>
            <w:vAlign w:val="top"/>
          </w:tcPr>
          <w:p>
            <w:pPr>
              <w:spacing w:before="202" w:line="204" w:lineRule="auto"/>
              <w:ind w:firstLine="227"/>
              <w:jc w:val="left"/>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90</w:t>
            </w:r>
          </w:p>
        </w:tc>
        <w:tc>
          <w:tcPr>
            <w:tcW w:w="488" w:type="dxa"/>
            <w:vAlign w:val="top"/>
          </w:tcPr>
          <w:p>
            <w:pPr>
              <w:spacing w:before="202" w:line="204" w:lineRule="auto"/>
              <w:ind w:firstLine="158"/>
              <w:jc w:val="left"/>
              <w:rPr>
                <w:rFonts w:ascii="Times New Roman" w:hAnsi="Times New Roman" w:eastAsia="Times New Roman" w:cs="Times New Roman"/>
                <w:sz w:val="21"/>
                <w:szCs w:val="21"/>
              </w:rPr>
            </w:pPr>
            <w:r>
              <w:rPr>
                <w:rFonts w:ascii="Times New Roman" w:hAnsi="Times New Roman" w:eastAsia="Times New Roman" w:cs="Times New Roman"/>
                <w:sz w:val="21"/>
                <w:szCs w:val="21"/>
              </w:rPr>
              <w:t>%</w:t>
            </w:r>
          </w:p>
        </w:tc>
        <w:tc>
          <w:tcPr>
            <w:tcW w:w="968" w:type="dxa"/>
            <w:vAlign w:val="top"/>
          </w:tcPr>
          <w:p>
            <w:pPr>
              <w:spacing w:before="166" w:line="204" w:lineRule="auto"/>
              <w:ind w:firstLine="37"/>
              <w:jc w:val="left"/>
              <w:rPr>
                <w:rFonts w:ascii="仿宋" w:hAnsi="仿宋" w:eastAsia="仿宋" w:cs="仿宋"/>
                <w:sz w:val="21"/>
                <w:szCs w:val="21"/>
              </w:rPr>
            </w:pPr>
            <w:r>
              <w:rPr>
                <w:rFonts w:ascii="仿宋" w:hAnsi="仿宋" w:eastAsia="仿宋" w:cs="仿宋"/>
                <w:spacing w:val="-8"/>
                <w:sz w:val="21"/>
                <w:szCs w:val="21"/>
              </w:rPr>
              <w:t>问卷调查</w:t>
            </w:r>
          </w:p>
        </w:tc>
      </w:tr>
    </w:tbl>
    <w:p>
      <w:pPr>
        <w:spacing w:line="240" w:lineRule="auto"/>
        <w:jc w:val="left"/>
        <w:rPr>
          <w:rFonts w:ascii="Arial" w:hAnsi="Arial" w:eastAsia="Arial" w:cs="Arial"/>
          <w:sz w:val="21"/>
          <w:szCs w:val="21"/>
        </w:rPr>
      </w:pPr>
    </w:p>
    <w:p>
      <w:pPr>
        <w:jc w:val="left"/>
        <w:sectPr>
          <w:pgSz w:w="11907" w:h="16839"/>
          <w:pgMar w:top="1431" w:right="1435" w:bottom="0" w:left="1399" w:header="0" w:footer="0" w:gutter="0"/>
        </w:sectPr>
      </w:pPr>
    </w:p>
    <w:p>
      <w:pPr>
        <w:numPr>
          <w:ilvl w:val="0"/>
          <w:numId w:val="1"/>
        </w:numPr>
        <w:spacing w:line="584" w:lineRule="exact"/>
        <w:rPr>
          <w:rFonts w:hint="eastAsia" w:ascii="Times New Roman" w:hAnsi="Times New Roman" w:eastAsia="黑体" w:cs="Times New Roman"/>
          <w:sz w:val="32"/>
          <w:szCs w:val="32"/>
          <w:lang w:val="en-US" w:eastAsia="zh-CN"/>
        </w:rPr>
      </w:pPr>
      <w:bookmarkStart w:id="0" w:name="_Toc_4_4_0000000004"/>
      <w:r>
        <w:rPr>
          <w:rFonts w:hint="eastAsia" w:ascii="Times New Roman" w:hAnsi="Times New Roman" w:eastAsia="黑体" w:cs="Times New Roman"/>
          <w:sz w:val="32"/>
          <w:szCs w:val="32"/>
        </w:rPr>
        <w:t>资金绩效目标</w:t>
      </w:r>
      <w:r>
        <w:rPr>
          <w:rFonts w:hint="eastAsia" w:ascii="Times New Roman" w:hAnsi="Times New Roman" w:eastAsia="黑体" w:cs="Times New Roman"/>
          <w:sz w:val="32"/>
          <w:szCs w:val="32"/>
          <w:lang w:val="en-US" w:eastAsia="zh-CN"/>
        </w:rPr>
        <w:t xml:space="preserve"> </w:t>
      </w:r>
      <w:bookmarkEnd w:id="0"/>
      <w:bookmarkStart w:id="1" w:name="_Toc_4_4_0000000007"/>
    </w:p>
    <w:p>
      <w:pPr>
        <w:numPr>
          <w:ilvl w:val="0"/>
          <w:numId w:val="0"/>
        </w:numPr>
        <w:spacing w:line="584" w:lineRule="exact"/>
        <w:ind w:firstLine="640" w:firstLineChars="200"/>
        <w:rPr>
          <w:rFonts w:eastAsia="黑体" w:cs="方正仿宋_GBK"/>
          <w:color w:val="000000"/>
          <w:sz w:val="32"/>
          <w:szCs w:val="32"/>
        </w:rPr>
      </w:pPr>
      <w:r>
        <w:rPr>
          <w:rFonts w:hint="eastAsia" w:eastAsia="黑体" w:cs="方正仿宋_GBK"/>
          <w:color w:val="000000"/>
          <w:sz w:val="32"/>
          <w:szCs w:val="32"/>
          <w:lang w:val="en-US" w:eastAsia="zh-CN"/>
        </w:rPr>
        <w:t>1</w:t>
      </w:r>
      <w:r>
        <w:rPr>
          <w:rFonts w:eastAsia="黑体" w:cs="方正仿宋_GBK"/>
          <w:color w:val="000000"/>
          <w:sz w:val="32"/>
          <w:szCs w:val="32"/>
        </w:rPr>
        <w:t>.2022年度市级食盐储备专项资金绩效目标表</w:t>
      </w:r>
      <w:bookmarkEnd w:id="1"/>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13100022P002266100013</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2022年度市级食盐储备专项资金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65.00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65.00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主要用于确保市级盐业储备足量、质量良好、储备安全。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 市级食盐储备计划为3000吨，其中小包装入口食盐2500吨，散装食品加工用盐500吨。</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市级食盐</w:t>
            </w:r>
          </w:p>
          <w:p>
            <w:pPr>
              <w:pStyle w:val="14"/>
              <w:jc w:val="center"/>
              <w:rPr>
                <w:rFonts w:hint="eastAsia" w:ascii="Times New Roman" w:hAnsi="Times New Roman" w:eastAsiaTheme="minorEastAsia"/>
                <w:lang w:eastAsia="zh-CN"/>
              </w:rPr>
            </w:pPr>
            <w:r>
              <w:rPr>
                <w:rFonts w:ascii="Times New Roman" w:hAnsi="Times New Roman" w:eastAsiaTheme="minorEastAsia"/>
              </w:rPr>
              <w:t>储备数量</w:t>
            </w:r>
          </w:p>
          <w:p>
            <w:pPr>
              <w:pStyle w:val="14"/>
              <w:jc w:val="center"/>
              <w:rPr>
                <w:rFonts w:ascii="Times New Roman" w:hAnsi="Times New Roman" w:eastAsiaTheme="minorEastAsia"/>
              </w:rPr>
            </w:pPr>
            <w:r>
              <w:rPr>
                <w:rFonts w:ascii="Times New Roman" w:hAnsi="Times New Roman" w:eastAsiaTheme="minorEastAsia"/>
              </w:rPr>
              <w:t>真实率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储备物资实际库存数量占市级食盐储备数量的比率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≥3000吨</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市级食盐</w:t>
            </w:r>
          </w:p>
          <w:p>
            <w:pPr>
              <w:pStyle w:val="14"/>
              <w:jc w:val="center"/>
              <w:rPr>
                <w:rFonts w:hint="eastAsia" w:ascii="Times New Roman" w:hAnsi="Times New Roman" w:eastAsiaTheme="minorEastAsia"/>
                <w:lang w:eastAsia="zh-CN"/>
              </w:rPr>
            </w:pPr>
            <w:r>
              <w:rPr>
                <w:rFonts w:ascii="Times New Roman" w:hAnsi="Times New Roman" w:eastAsiaTheme="minorEastAsia"/>
              </w:rPr>
              <w:t>储备质量</w:t>
            </w:r>
          </w:p>
          <w:p>
            <w:pPr>
              <w:pStyle w:val="14"/>
              <w:jc w:val="center"/>
              <w:rPr>
                <w:rFonts w:ascii="Times New Roman" w:hAnsi="Times New Roman" w:eastAsiaTheme="minorEastAsia"/>
              </w:rPr>
            </w:pPr>
            <w:r>
              <w:rPr>
                <w:rFonts w:ascii="Times New Roman" w:hAnsi="Times New Roman" w:eastAsiaTheme="minorEastAsia"/>
              </w:rPr>
              <w:t>完好率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无质量问题储备物资数量占全部储存数量的比率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市级食盐储备盘点次数</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当年储备物资实时盘点的次数</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≥12次</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全年实际盘点</w:t>
            </w:r>
          </w:p>
          <w:p>
            <w:pPr>
              <w:pStyle w:val="14"/>
              <w:jc w:val="center"/>
              <w:rPr>
                <w:rFonts w:ascii="Times New Roman" w:hAnsi="Times New Roman" w:eastAsiaTheme="minorEastAsia"/>
              </w:rPr>
            </w:pPr>
            <w:r>
              <w:rPr>
                <w:rFonts w:ascii="Times New Roman" w:hAnsi="Times New Roman" w:eastAsiaTheme="minorEastAsia"/>
              </w:rPr>
              <w:t>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成本控制情况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市级食盐</w:t>
            </w:r>
          </w:p>
          <w:p>
            <w:pPr>
              <w:pStyle w:val="14"/>
              <w:jc w:val="center"/>
              <w:rPr>
                <w:rFonts w:hint="eastAsia" w:ascii="Times New Roman" w:hAnsi="Times New Roman" w:eastAsiaTheme="minorEastAsia"/>
                <w:lang w:eastAsia="zh-CN"/>
              </w:rPr>
            </w:pPr>
            <w:r>
              <w:rPr>
                <w:rFonts w:ascii="Times New Roman" w:hAnsi="Times New Roman" w:eastAsiaTheme="minorEastAsia"/>
              </w:rPr>
              <w:t>储备应急</w:t>
            </w:r>
          </w:p>
          <w:p>
            <w:pPr>
              <w:pStyle w:val="14"/>
              <w:jc w:val="center"/>
              <w:rPr>
                <w:rFonts w:ascii="Times New Roman" w:hAnsi="Times New Roman" w:eastAsiaTheme="minorEastAsia"/>
              </w:rPr>
            </w:pPr>
            <w:r>
              <w:rPr>
                <w:rFonts w:ascii="Times New Roman" w:hAnsi="Times New Roman" w:eastAsiaTheme="minorEastAsia"/>
              </w:rPr>
              <w:t>保障率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储备物资实际应急供应量占计划应急供应量的比率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群众对食盐市场满意度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人民群众对食盐市场异常波动的满意程度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≥98%</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footerReference r:id="rId3" w:type="default"/>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 w:name="_Toc_4_4_0000000008"/>
      <w:r>
        <w:rPr>
          <w:rFonts w:hint="eastAsia" w:eastAsia="黑体" w:cs="方正仿宋_GBK"/>
          <w:color w:val="000000"/>
          <w:sz w:val="32"/>
          <w:szCs w:val="32"/>
          <w:lang w:val="en-US" w:eastAsia="zh-CN"/>
        </w:rPr>
        <w:t>2</w:t>
      </w:r>
      <w:r>
        <w:rPr>
          <w:rFonts w:eastAsia="黑体" w:cs="方正仿宋_GBK"/>
          <w:color w:val="000000"/>
          <w:sz w:val="32"/>
          <w:szCs w:val="32"/>
        </w:rPr>
        <w:t>.2022年简易建筑费（冀财建</w:t>
      </w:r>
      <w:r>
        <w:rPr>
          <w:rFonts w:hint="eastAsia" w:eastAsia="黑体" w:cs="方正仿宋_GBK"/>
          <w:color w:val="000000"/>
          <w:sz w:val="32"/>
          <w:szCs w:val="32"/>
          <w:lang w:eastAsia="zh-CN"/>
        </w:rPr>
        <w:t>〔</w:t>
      </w:r>
      <w:r>
        <w:rPr>
          <w:rFonts w:eastAsia="黑体" w:cs="方正仿宋_GBK"/>
          <w:color w:val="000000"/>
          <w:sz w:val="32"/>
          <w:szCs w:val="32"/>
        </w:rPr>
        <w:t>2021</w:t>
      </w:r>
      <w:r>
        <w:rPr>
          <w:rFonts w:hint="eastAsia" w:eastAsia="黑体" w:cs="方正仿宋_GBK"/>
          <w:color w:val="000000"/>
          <w:sz w:val="32"/>
          <w:szCs w:val="32"/>
          <w:lang w:eastAsia="zh-CN"/>
        </w:rPr>
        <w:t>〕</w:t>
      </w:r>
      <w:r>
        <w:rPr>
          <w:rFonts w:eastAsia="黑体" w:cs="方正仿宋_GBK"/>
          <w:color w:val="000000"/>
          <w:sz w:val="32"/>
          <w:szCs w:val="32"/>
        </w:rPr>
        <w:t>240号）绩效目标表</w:t>
      </w:r>
      <w:bookmarkEnd w:id="2"/>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13100022P00283010001R</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2022年简易建筑费</w:t>
            </w:r>
          </w:p>
          <w:p>
            <w:pPr>
              <w:pStyle w:val="14"/>
              <w:jc w:val="center"/>
              <w:rPr>
                <w:rFonts w:ascii="Times New Roman" w:hAnsi="Times New Roman" w:eastAsiaTheme="minorEastAsia"/>
              </w:rPr>
            </w:pPr>
            <w:r>
              <w:rPr>
                <w:rFonts w:ascii="Times New Roman" w:hAnsi="Times New Roman" w:eastAsiaTheme="minorEastAsia"/>
              </w:rPr>
              <w:t>（冀财建〔2021</w:t>
            </w:r>
            <w:r>
              <w:rPr>
                <w:rFonts w:hint="eastAsia" w:ascii="Times New Roman" w:hAnsi="Times New Roman" w:eastAsiaTheme="minorEastAsia"/>
                <w:lang w:eastAsia="zh-CN"/>
              </w:rPr>
              <w:t>〕</w:t>
            </w:r>
            <w:r>
              <w:rPr>
                <w:rFonts w:ascii="Times New Roman" w:hAnsi="Times New Roman" w:eastAsiaTheme="minorEastAsia"/>
              </w:rPr>
              <w:t>240号）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35.00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35.00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主要用于我市国有粮食企业仓储设施的简易维修。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1.用于我市国有粮食企业仓储设施的简易维修</w:t>
            </w:r>
          </w:p>
          <w:p>
            <w:pPr>
              <w:pStyle w:val="14"/>
              <w:rPr>
                <w:rFonts w:ascii="Times New Roman" w:hAnsi="Times New Roman" w:eastAsiaTheme="minorEastAsia"/>
              </w:rPr>
            </w:pPr>
            <w:r>
              <w:rPr>
                <w:rFonts w:ascii="Times New Roman" w:hAnsi="Times New Roman" w:eastAsiaTheme="minorEastAsia"/>
              </w:rPr>
              <w:t>2.改善国有粮食企业仓储设施。</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下拨企业</w:t>
            </w:r>
          </w:p>
          <w:p>
            <w:pPr>
              <w:pStyle w:val="14"/>
              <w:jc w:val="center"/>
              <w:rPr>
                <w:rFonts w:ascii="Times New Roman" w:hAnsi="Times New Roman" w:eastAsiaTheme="minorEastAsia"/>
              </w:rPr>
            </w:pPr>
            <w:r>
              <w:rPr>
                <w:rFonts w:ascii="Times New Roman" w:hAnsi="Times New Roman" w:eastAsiaTheme="minorEastAsia"/>
              </w:rPr>
              <w:t>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下拨企业粮库维修费</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优良率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结项鉴定优秀等级项目数量占结项总数量的比例（百分比）</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≥95%</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及时拨付下拨企业资金</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验收报告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成本支出控制在预算范围内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≤35万元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保障国有粮食企业基础设置安全</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保证国有粮食企业基础设施安全有效</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保障有力</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企业满意度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下拨企业对资金拨付满意度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问卷调查</w:t>
            </w:r>
          </w:p>
        </w:tc>
      </w:tr>
    </w:tbl>
    <w:p>
      <w:pPr>
        <w:sectPr>
          <w:pgSz w:w="11900" w:h="16840"/>
          <w:pgMar w:top="1701" w:right="1418" w:bottom="1701" w:left="1418" w:header="720" w:footer="1247" w:gutter="0"/>
          <w:cols w:space="720" w:num="1"/>
        </w:sectPr>
      </w:pPr>
    </w:p>
    <w:p>
      <w:pPr>
        <w:ind w:firstLine="640" w:firstLineChars="200"/>
        <w:jc w:val="both"/>
        <w:outlineLvl w:val="3"/>
        <w:rPr>
          <w:rFonts w:eastAsia="黑体" w:cs="方正仿宋_GBK"/>
          <w:color w:val="000000"/>
          <w:sz w:val="32"/>
          <w:szCs w:val="32"/>
        </w:rPr>
      </w:pPr>
      <w:bookmarkStart w:id="3" w:name="_Toc_4_4_0000000009"/>
      <w:r>
        <w:rPr>
          <w:rFonts w:hint="eastAsia" w:eastAsia="黑体" w:cs="方正仿宋_GBK"/>
          <w:color w:val="000000"/>
          <w:sz w:val="32"/>
          <w:szCs w:val="32"/>
          <w:lang w:val="en-US" w:eastAsia="zh-CN"/>
        </w:rPr>
        <w:t>3</w:t>
      </w:r>
      <w:r>
        <w:rPr>
          <w:rFonts w:eastAsia="黑体" w:cs="方正仿宋_GBK"/>
          <w:color w:val="000000"/>
          <w:sz w:val="32"/>
          <w:szCs w:val="32"/>
        </w:rPr>
        <w:t>.2022年军粮供应和集约化保障建设资金（冀财建〔2021〕242号）绩效目标表</w:t>
      </w:r>
      <w:bookmarkEnd w:id="3"/>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13100022P00282710001A</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2022年军粮供应和集约化保障建设资金（冀财建</w:t>
            </w:r>
            <w:r>
              <w:rPr>
                <w:rFonts w:hint="eastAsia" w:ascii="Times New Roman" w:hAnsi="Times New Roman" w:eastAsiaTheme="minorEastAsia"/>
                <w:lang w:eastAsia="zh-CN"/>
              </w:rPr>
              <w:t>〔</w:t>
            </w:r>
            <w:r>
              <w:rPr>
                <w:rFonts w:ascii="Times New Roman" w:hAnsi="Times New Roman" w:eastAsiaTheme="minorEastAsia"/>
              </w:rPr>
              <w:t>2021</w:t>
            </w:r>
            <w:r>
              <w:rPr>
                <w:rFonts w:hint="eastAsia" w:ascii="Times New Roman" w:hAnsi="Times New Roman" w:eastAsiaTheme="minorEastAsia"/>
                <w:lang w:eastAsia="zh-CN"/>
              </w:rPr>
              <w:t>〕</w:t>
            </w:r>
            <w:r>
              <w:rPr>
                <w:rFonts w:ascii="Times New Roman" w:hAnsi="Times New Roman" w:eastAsiaTheme="minorEastAsia"/>
              </w:rPr>
              <w:t>242号）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85.70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85.70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主要用于我市军粮供应和军民融合式主副食集约化保障建设工作。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1.保障我市2020年供应基础工作。</w:t>
            </w:r>
          </w:p>
          <w:p>
            <w:pPr>
              <w:pStyle w:val="14"/>
              <w:rPr>
                <w:rFonts w:ascii="Times New Roman" w:hAnsi="Times New Roman" w:eastAsiaTheme="minorEastAsia"/>
              </w:rPr>
            </w:pPr>
            <w:r>
              <w:rPr>
                <w:rFonts w:ascii="Times New Roman" w:hAnsi="Times New Roman" w:eastAsiaTheme="minorEastAsia"/>
              </w:rPr>
              <w:t>2.做好集约化保障建设资金。</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下拨单位</w:t>
            </w:r>
          </w:p>
          <w:p>
            <w:pPr>
              <w:pStyle w:val="14"/>
              <w:jc w:val="center"/>
              <w:rPr>
                <w:rFonts w:ascii="Times New Roman" w:hAnsi="Times New Roman" w:eastAsiaTheme="minorEastAsia"/>
              </w:rPr>
            </w:pPr>
            <w:r>
              <w:rPr>
                <w:rFonts w:ascii="Times New Roman" w:hAnsi="Times New Roman" w:eastAsiaTheme="minorEastAsia"/>
              </w:rPr>
              <w:t>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根据文件要求下拨单位数量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下拨单位</w:t>
            </w:r>
          </w:p>
          <w:p>
            <w:pPr>
              <w:pStyle w:val="14"/>
              <w:jc w:val="center"/>
              <w:rPr>
                <w:rFonts w:ascii="Times New Roman" w:hAnsi="Times New Roman" w:eastAsiaTheme="minorEastAsia"/>
              </w:rPr>
            </w:pPr>
            <w:r>
              <w:rPr>
                <w:rFonts w:ascii="Times New Roman" w:hAnsi="Times New Roman" w:eastAsiaTheme="minorEastAsia"/>
              </w:rPr>
              <w:t>准确率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下拨单位准确情况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及时下拨资金</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财务拨付凭证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成本控制在预算内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≤85.7万元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保障军粮</w:t>
            </w:r>
          </w:p>
          <w:p>
            <w:pPr>
              <w:pStyle w:val="14"/>
              <w:jc w:val="center"/>
              <w:rPr>
                <w:rFonts w:ascii="Times New Roman" w:hAnsi="Times New Roman" w:eastAsiaTheme="minorEastAsia"/>
              </w:rPr>
            </w:pPr>
            <w:r>
              <w:rPr>
                <w:rFonts w:ascii="Times New Roman" w:hAnsi="Times New Roman" w:eastAsiaTheme="minorEastAsia"/>
              </w:rPr>
              <w:t>供应</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保障我市军粮供应工作顺利开展</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提供保障</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下属企业</w:t>
            </w:r>
          </w:p>
          <w:p>
            <w:pPr>
              <w:pStyle w:val="14"/>
              <w:jc w:val="center"/>
              <w:rPr>
                <w:rFonts w:ascii="Times New Roman" w:hAnsi="Times New Roman" w:eastAsiaTheme="minorEastAsia"/>
              </w:rPr>
            </w:pPr>
            <w:r>
              <w:rPr>
                <w:rFonts w:ascii="Times New Roman" w:hAnsi="Times New Roman" w:eastAsiaTheme="minorEastAsia"/>
              </w:rPr>
              <w:t>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下属企业对下拨资金情况的满意度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≥95%</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问卷调查</w:t>
            </w:r>
          </w:p>
        </w:tc>
      </w:tr>
    </w:tbl>
    <w:p>
      <w:pPr>
        <w:sectPr>
          <w:pgSz w:w="11900" w:h="16840"/>
          <w:pgMar w:top="1701" w:right="1418" w:bottom="1701" w:left="1418" w:header="720" w:footer="1247" w:gutter="0"/>
          <w:cols w:space="720" w:num="1"/>
        </w:sectPr>
      </w:pPr>
    </w:p>
    <w:p>
      <w:pPr>
        <w:jc w:val="center"/>
        <w:rPr>
          <w:rFonts w:eastAsia="黑体" w:cs="方正仿宋_GBK"/>
          <w:color w:val="000000"/>
          <w:sz w:val="32"/>
          <w:szCs w:val="32"/>
        </w:rPr>
      </w:pPr>
      <w:bookmarkStart w:id="4" w:name="_Toc_4_4_0000000010"/>
      <w:r>
        <w:rPr>
          <w:rFonts w:hint="eastAsia" w:eastAsia="黑体" w:cs="方正仿宋_GBK"/>
          <w:color w:val="000000"/>
          <w:sz w:val="32"/>
          <w:szCs w:val="32"/>
          <w:lang w:val="en-US" w:eastAsia="zh-CN"/>
        </w:rPr>
        <w:t>4</w:t>
      </w:r>
      <w:r>
        <w:rPr>
          <w:rFonts w:eastAsia="黑体" w:cs="方正仿宋_GBK"/>
          <w:color w:val="000000"/>
          <w:sz w:val="32"/>
          <w:szCs w:val="32"/>
        </w:rPr>
        <w:t>.“双创双服”活动领导小组办公室经费绩效目标表</w:t>
      </w:r>
      <w:bookmarkEnd w:id="4"/>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13100022P002248100010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“双创双服”活动领导小组办公室经费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5.00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5.00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主要为加强对“双创双服”活动的组织领导，保障市“双创双服”活动领导小组办公室日常工作顺利开展。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35%</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50%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70%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1.深入落实省、市“双创双服”活动各项部署，以服务企业为重点服务发展，以实施民心工程为重点服务民生，完成全市“双创双服”活动工作任务，为完成全年经济社会发展目标奠定基础。</w:t>
            </w:r>
          </w:p>
          <w:p>
            <w:pPr>
              <w:pStyle w:val="14"/>
              <w:rPr>
                <w:rFonts w:ascii="Times New Roman" w:hAnsi="Times New Roman" w:eastAsiaTheme="minorEastAsia"/>
              </w:rPr>
            </w:pPr>
            <w:r>
              <w:rPr>
                <w:rFonts w:ascii="Times New Roman" w:hAnsi="Times New Roman" w:eastAsiaTheme="minorEastAsia"/>
              </w:rPr>
              <w:t>2.以“双创双服”活动实施意见为统领，统筹推进全市“双创双服”活动开展和各项工作督导落实；要在做好各项工作推进的同时，完成省级交办事项，解决好县级反馈问题，完成全市2022年“双创双服”活动工作任务。</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szCs w:val="21"/>
              </w:rPr>
            </w:pPr>
            <w:r>
              <w:rPr>
                <w:rFonts w:ascii="Times New Roman" w:hAnsi="Times New Roman" w:eastAsiaTheme="minorEastAsia"/>
                <w:szCs w:val="21"/>
              </w:rPr>
              <w:t>一级指标</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二级指标</w:t>
            </w:r>
          </w:p>
        </w:tc>
        <w:tc>
          <w:tcPr>
            <w:tcW w:w="1228" w:type="dxa"/>
            <w:vAlign w:val="center"/>
          </w:tcPr>
          <w:p>
            <w:pPr>
              <w:pStyle w:val="12"/>
              <w:rPr>
                <w:rFonts w:ascii="Times New Roman" w:hAnsi="Times New Roman" w:eastAsiaTheme="minorEastAsia"/>
                <w:szCs w:val="21"/>
              </w:rPr>
            </w:pPr>
            <w:r>
              <w:rPr>
                <w:rFonts w:ascii="Times New Roman" w:hAnsi="Times New Roman" w:eastAsiaTheme="minorEastAsia"/>
                <w:szCs w:val="21"/>
              </w:rPr>
              <w:t>三级指标</w:t>
            </w:r>
          </w:p>
        </w:tc>
        <w:tc>
          <w:tcPr>
            <w:tcW w:w="2665" w:type="dxa"/>
            <w:vAlign w:val="center"/>
          </w:tcPr>
          <w:p>
            <w:pPr>
              <w:pStyle w:val="12"/>
              <w:rPr>
                <w:rFonts w:ascii="Times New Roman" w:hAnsi="Times New Roman" w:eastAsiaTheme="minorEastAsia"/>
                <w:szCs w:val="21"/>
              </w:rPr>
            </w:pPr>
            <w:r>
              <w:rPr>
                <w:rFonts w:ascii="Times New Roman" w:hAnsi="Times New Roman" w:eastAsiaTheme="minorEastAsia"/>
                <w:szCs w:val="21"/>
              </w:rPr>
              <w:t>绩效指标描述</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w:t>
            </w:r>
          </w:p>
        </w:tc>
        <w:tc>
          <w:tcPr>
            <w:tcW w:w="1698"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szCs w:val="21"/>
              </w:rPr>
            </w:pPr>
            <w:r>
              <w:rPr>
                <w:rFonts w:ascii="Times New Roman" w:hAnsi="Times New Roman" w:eastAsiaTheme="minorEastAsia"/>
                <w:szCs w:val="21"/>
              </w:rPr>
              <w:t>产出指标</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数量指标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宣传次数</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各类宣传份数</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≥2份</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打印清单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质量指标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“双创双服”活动任务符合要求标准</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各项任务达到年度目标要求标准</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合格</w:t>
            </w:r>
          </w:p>
        </w:tc>
        <w:tc>
          <w:tcPr>
            <w:tcW w:w="169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2022年“双创双服”活动实施</w:t>
            </w:r>
          </w:p>
          <w:p>
            <w:pPr>
              <w:pStyle w:val="14"/>
              <w:jc w:val="center"/>
              <w:rPr>
                <w:rFonts w:ascii="Times New Roman" w:hAnsi="Times New Roman" w:eastAsiaTheme="minorEastAsia"/>
                <w:szCs w:val="21"/>
              </w:rPr>
            </w:pPr>
            <w:r>
              <w:rPr>
                <w:rFonts w:ascii="Times New Roman" w:hAnsi="Times New Roman" w:eastAsiaTheme="minorEastAsia"/>
                <w:szCs w:val="21"/>
              </w:rPr>
              <w:t>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时效指标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任务完成</w:t>
            </w:r>
          </w:p>
          <w:p>
            <w:pPr>
              <w:pStyle w:val="14"/>
              <w:jc w:val="center"/>
              <w:rPr>
                <w:rFonts w:ascii="Times New Roman" w:hAnsi="Times New Roman" w:eastAsiaTheme="minorEastAsia"/>
                <w:szCs w:val="21"/>
              </w:rPr>
            </w:pPr>
            <w:r>
              <w:rPr>
                <w:rFonts w:ascii="Times New Roman" w:hAnsi="Times New Roman" w:eastAsiaTheme="minorEastAsia"/>
                <w:szCs w:val="21"/>
              </w:rPr>
              <w:t>及时性</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根据活动实施方案及时完成</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及时</w:t>
            </w:r>
          </w:p>
        </w:tc>
        <w:tc>
          <w:tcPr>
            <w:tcW w:w="169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2022年“双创双服”活动实施</w:t>
            </w:r>
          </w:p>
          <w:p>
            <w:pPr>
              <w:pStyle w:val="14"/>
              <w:jc w:val="center"/>
              <w:rPr>
                <w:rFonts w:ascii="Times New Roman" w:hAnsi="Times New Roman" w:eastAsiaTheme="minorEastAsia"/>
                <w:szCs w:val="21"/>
              </w:rPr>
            </w:pPr>
            <w:r>
              <w:rPr>
                <w:rFonts w:ascii="Times New Roman" w:hAnsi="Times New Roman" w:eastAsiaTheme="minorEastAsia"/>
                <w:szCs w:val="21"/>
              </w:rPr>
              <w:t>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差旅费成本控制</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差旅费成本控制额</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≤1万元</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szCs w:val="21"/>
              </w:rPr>
            </w:pPr>
            <w:r>
              <w:rPr>
                <w:rFonts w:ascii="Times New Roman" w:hAnsi="Times New Roman" w:eastAsiaTheme="minorEastAsia"/>
                <w:szCs w:val="21"/>
              </w:rPr>
              <w:t>效益指标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社会效益</w:t>
            </w:r>
          </w:p>
          <w:p>
            <w:pPr>
              <w:pStyle w:val="14"/>
              <w:jc w:val="center"/>
              <w:rPr>
                <w:rFonts w:ascii="Times New Roman" w:hAnsi="Times New Roman" w:eastAsiaTheme="minorEastAsia"/>
                <w:szCs w:val="21"/>
              </w:rPr>
            </w:pPr>
            <w:r>
              <w:rPr>
                <w:rFonts w:ascii="Times New Roman" w:hAnsi="Times New Roman" w:eastAsiaTheme="minorEastAsia"/>
                <w:szCs w:val="21"/>
              </w:rPr>
              <w:t>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保市场主体情况</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解决政策解读落实不到位、企业减负不明显等问题情况</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优化</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可持续影响指标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改善民生</w:t>
            </w:r>
          </w:p>
          <w:p>
            <w:pPr>
              <w:pStyle w:val="14"/>
              <w:jc w:val="center"/>
              <w:rPr>
                <w:rFonts w:ascii="Times New Roman" w:hAnsi="Times New Roman" w:eastAsiaTheme="minorEastAsia"/>
                <w:szCs w:val="21"/>
              </w:rPr>
            </w:pPr>
            <w:r>
              <w:rPr>
                <w:rFonts w:ascii="Times New Roman" w:hAnsi="Times New Roman" w:eastAsiaTheme="minorEastAsia"/>
                <w:szCs w:val="21"/>
              </w:rPr>
              <w:t>情况</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解决事关人民群众切身利益的住房、供暖等公共服务方面的实际问题</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优化</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szCs w:val="21"/>
              </w:rPr>
            </w:pPr>
            <w:r>
              <w:rPr>
                <w:rFonts w:ascii="Times New Roman" w:hAnsi="Times New Roman" w:eastAsiaTheme="minorEastAsia"/>
                <w:szCs w:val="21"/>
              </w:rPr>
              <w:t>满意度指标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服务对象</w:t>
            </w:r>
          </w:p>
          <w:p>
            <w:pPr>
              <w:pStyle w:val="14"/>
              <w:jc w:val="center"/>
              <w:rPr>
                <w:rFonts w:ascii="Times New Roman" w:hAnsi="Times New Roman" w:eastAsiaTheme="minorEastAsia"/>
                <w:szCs w:val="21"/>
              </w:rPr>
            </w:pPr>
            <w:r>
              <w:rPr>
                <w:rFonts w:ascii="Times New Roman" w:hAnsi="Times New Roman" w:eastAsiaTheme="minorEastAsia"/>
                <w:szCs w:val="21"/>
              </w:rPr>
              <w:t>满意度指标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服务对象对“双创双服”活动</w:t>
            </w:r>
          </w:p>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开展情况</w:t>
            </w:r>
          </w:p>
          <w:p>
            <w:pPr>
              <w:pStyle w:val="14"/>
              <w:jc w:val="center"/>
              <w:rPr>
                <w:rFonts w:ascii="Times New Roman" w:hAnsi="Times New Roman" w:eastAsiaTheme="minorEastAsia"/>
                <w:szCs w:val="21"/>
              </w:rPr>
            </w:pPr>
            <w:r>
              <w:rPr>
                <w:rFonts w:ascii="Times New Roman" w:hAnsi="Times New Roman" w:eastAsiaTheme="minorEastAsia"/>
                <w:szCs w:val="21"/>
              </w:rPr>
              <w:t>满意度</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考察服务对象对全市“双创双服”活动开展情况的满意度</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≥90%</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问卷调查</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5" w:name="_Toc_4_4_0000000011"/>
      <w:r>
        <w:rPr>
          <w:rFonts w:hint="eastAsia" w:eastAsia="黑体" w:cs="方正仿宋_GBK"/>
          <w:color w:val="000000"/>
          <w:sz w:val="32"/>
          <w:szCs w:val="32"/>
          <w:lang w:val="en-US" w:eastAsia="zh-CN"/>
        </w:rPr>
        <w:t>5</w:t>
      </w:r>
      <w:r>
        <w:rPr>
          <w:rFonts w:eastAsia="黑体" w:cs="方正仿宋_GBK"/>
          <w:color w:val="000000"/>
          <w:sz w:val="32"/>
          <w:szCs w:val="32"/>
        </w:rPr>
        <w:t>.“优质粮食工程”仪器设备采购质保金绩效目标表</w:t>
      </w:r>
      <w:bookmarkEnd w:id="5"/>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13100022P002676100019</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“优质粮食工程”仪器设备采购质保金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80.70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80.70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用于“优质粮食工程”粮食质量安全检验监测体系建设中仪器设备采购质保金按照合同的约定支付。</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50%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1.按照合同约定完成质保金支付，不发生债务纠纷事件。</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合同数量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检测小麦110个、玉米240个</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12个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依据合同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设备符合</w:t>
            </w:r>
          </w:p>
          <w:p>
            <w:pPr>
              <w:pStyle w:val="14"/>
              <w:jc w:val="center"/>
              <w:rPr>
                <w:rFonts w:ascii="Times New Roman" w:hAnsi="Times New Roman" w:eastAsiaTheme="minorEastAsia"/>
              </w:rPr>
            </w:pPr>
            <w:r>
              <w:rPr>
                <w:rFonts w:ascii="Times New Roman" w:hAnsi="Times New Roman" w:eastAsiaTheme="minorEastAsia"/>
              </w:rPr>
              <w:t>质量标准</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检测仪器设备质量合格</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合格</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依据合同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支付时间</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质保期过后1个月内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≤1月</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依据合同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质保金金额</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≤80.7万元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依据合同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债务纠分造成社会影响</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不产生债务纠分，造成社会影响</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避免</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仪器设备供货方调查</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质保金支付效率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6" w:name="_Toc_4_4_0000000012"/>
      <w:r>
        <w:rPr>
          <w:rFonts w:hint="eastAsia" w:eastAsia="黑体" w:cs="方正仿宋_GBK"/>
          <w:color w:val="000000"/>
          <w:sz w:val="32"/>
          <w:szCs w:val="32"/>
          <w:lang w:val="en-US" w:eastAsia="zh-CN"/>
        </w:rPr>
        <w:t>6</w:t>
      </w:r>
      <w:r>
        <w:rPr>
          <w:rFonts w:eastAsia="黑体" w:cs="方正仿宋_GBK"/>
          <w:color w:val="000000"/>
          <w:sz w:val="32"/>
          <w:szCs w:val="32"/>
        </w:rPr>
        <w:t>.大项目前期工作经费绩效目标表</w:t>
      </w:r>
      <w:bookmarkEnd w:id="6"/>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13100022P00226710001Q</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大项目前期工作经费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97.00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97.00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 xml:space="preserve">主要用于根据市委、市政府加大项目管理和引进力度，实施项目带动战略要求，提高谋划运作项目的质量要求， 保障前期项目加快办理各项前期手续，新开工及续建项目加快建设进度，计划建成项目确保按期完工，完成我市重点项目建设目标任务。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30%</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1.通过积极促进前期项目加快办理各项前期手续，进一步加快推动我市经济建设，高质量发展，圆满完成我市重点项目建设任务。</w:t>
            </w:r>
          </w:p>
          <w:p>
            <w:pPr>
              <w:pStyle w:val="14"/>
              <w:rPr>
                <w:rFonts w:ascii="Times New Roman" w:hAnsi="Times New Roman" w:eastAsiaTheme="minorEastAsia"/>
              </w:rPr>
            </w:pPr>
            <w:r>
              <w:rPr>
                <w:rFonts w:ascii="Times New Roman" w:hAnsi="Times New Roman" w:eastAsiaTheme="minorEastAsia"/>
              </w:rPr>
              <w:t>2.通过加大对重点项目的引进、建设和管理力度，实施项目带动战略，拉动全市经济指标。</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szCs w:val="21"/>
              </w:rPr>
            </w:pPr>
            <w:r>
              <w:rPr>
                <w:rFonts w:ascii="Times New Roman" w:hAnsi="Times New Roman" w:eastAsiaTheme="minorEastAsia"/>
                <w:szCs w:val="21"/>
              </w:rPr>
              <w:t>一级指标</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二级指标</w:t>
            </w:r>
          </w:p>
        </w:tc>
        <w:tc>
          <w:tcPr>
            <w:tcW w:w="1228" w:type="dxa"/>
            <w:vAlign w:val="center"/>
          </w:tcPr>
          <w:p>
            <w:pPr>
              <w:pStyle w:val="12"/>
              <w:rPr>
                <w:rFonts w:ascii="Times New Roman" w:hAnsi="Times New Roman" w:eastAsiaTheme="minorEastAsia"/>
                <w:szCs w:val="21"/>
              </w:rPr>
            </w:pPr>
            <w:r>
              <w:rPr>
                <w:rFonts w:ascii="Times New Roman" w:hAnsi="Times New Roman" w:eastAsiaTheme="minorEastAsia"/>
                <w:szCs w:val="21"/>
              </w:rPr>
              <w:t>三级指标</w:t>
            </w:r>
          </w:p>
        </w:tc>
        <w:tc>
          <w:tcPr>
            <w:tcW w:w="2665" w:type="dxa"/>
            <w:vAlign w:val="center"/>
          </w:tcPr>
          <w:p>
            <w:pPr>
              <w:pStyle w:val="12"/>
              <w:rPr>
                <w:rFonts w:ascii="Times New Roman" w:hAnsi="Times New Roman" w:eastAsiaTheme="minorEastAsia"/>
                <w:szCs w:val="21"/>
              </w:rPr>
            </w:pPr>
            <w:r>
              <w:rPr>
                <w:rFonts w:ascii="Times New Roman" w:hAnsi="Times New Roman" w:eastAsiaTheme="minorEastAsia"/>
                <w:szCs w:val="21"/>
              </w:rPr>
              <w:t>绩效指标描述</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w:t>
            </w:r>
          </w:p>
        </w:tc>
        <w:tc>
          <w:tcPr>
            <w:tcW w:w="1698"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szCs w:val="21"/>
              </w:rPr>
            </w:pPr>
            <w:r>
              <w:rPr>
                <w:rFonts w:ascii="Times New Roman" w:hAnsi="Times New Roman" w:eastAsiaTheme="minorEastAsia"/>
                <w:szCs w:val="21"/>
              </w:rPr>
              <w:t>产出指标</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数量指标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召开会议</w:t>
            </w:r>
          </w:p>
          <w:p>
            <w:pPr>
              <w:pStyle w:val="14"/>
              <w:jc w:val="center"/>
              <w:rPr>
                <w:rFonts w:ascii="Times New Roman" w:hAnsi="Times New Roman" w:eastAsiaTheme="minorEastAsia"/>
                <w:szCs w:val="21"/>
              </w:rPr>
            </w:pPr>
            <w:r>
              <w:rPr>
                <w:rFonts w:ascii="Times New Roman" w:hAnsi="Times New Roman" w:eastAsiaTheme="minorEastAsia"/>
                <w:szCs w:val="21"/>
              </w:rPr>
              <w:t>次数</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市委、市政府安排召开的会议完成次数</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≥10次</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数量指标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观摩拉练</w:t>
            </w:r>
          </w:p>
          <w:p>
            <w:pPr>
              <w:pStyle w:val="14"/>
              <w:jc w:val="center"/>
              <w:rPr>
                <w:rFonts w:ascii="Times New Roman" w:hAnsi="Times New Roman" w:eastAsiaTheme="minorEastAsia"/>
                <w:szCs w:val="21"/>
              </w:rPr>
            </w:pPr>
            <w:r>
              <w:rPr>
                <w:rFonts w:ascii="Times New Roman" w:hAnsi="Times New Roman" w:eastAsiaTheme="minorEastAsia"/>
                <w:szCs w:val="21"/>
              </w:rPr>
              <w:t>次数</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考核织项目观摩拉练次数</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2次</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数量指标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重点项目</w:t>
            </w:r>
          </w:p>
          <w:p>
            <w:pPr>
              <w:pStyle w:val="14"/>
              <w:jc w:val="center"/>
              <w:rPr>
                <w:rFonts w:ascii="Times New Roman" w:hAnsi="Times New Roman" w:eastAsiaTheme="minorEastAsia"/>
                <w:szCs w:val="21"/>
              </w:rPr>
            </w:pPr>
            <w:r>
              <w:rPr>
                <w:rFonts w:ascii="Times New Roman" w:hAnsi="Times New Roman" w:eastAsiaTheme="minorEastAsia"/>
                <w:szCs w:val="21"/>
              </w:rPr>
              <w:t>培训次数</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考核组织重点项目培训次数</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≥1次</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质量指标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工作任务</w:t>
            </w:r>
          </w:p>
          <w:p>
            <w:pPr>
              <w:pStyle w:val="14"/>
              <w:jc w:val="center"/>
              <w:rPr>
                <w:rFonts w:ascii="Times New Roman" w:hAnsi="Times New Roman" w:eastAsiaTheme="minorEastAsia"/>
                <w:szCs w:val="21"/>
              </w:rPr>
            </w:pPr>
            <w:r>
              <w:rPr>
                <w:rFonts w:ascii="Times New Roman" w:hAnsi="Times New Roman" w:eastAsiaTheme="minorEastAsia"/>
                <w:szCs w:val="21"/>
              </w:rPr>
              <w:t>完成情况</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完成省、市委、市政府交办的工作任务</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合格</w:t>
            </w:r>
          </w:p>
        </w:tc>
        <w:tc>
          <w:tcPr>
            <w:tcW w:w="169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完成工作任务</w:t>
            </w:r>
          </w:p>
          <w:p>
            <w:pPr>
              <w:pStyle w:val="14"/>
              <w:jc w:val="center"/>
              <w:rPr>
                <w:rFonts w:ascii="Times New Roman" w:hAnsi="Times New Roman" w:eastAsiaTheme="minorEastAsia"/>
                <w:szCs w:val="21"/>
              </w:rPr>
            </w:pPr>
            <w:r>
              <w:rPr>
                <w:rFonts w:ascii="Times New Roman" w:hAnsi="Times New Roman" w:eastAsiaTheme="minorEastAsia"/>
                <w:szCs w:val="21"/>
              </w:rPr>
              <w:t>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时效指标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及时完成</w:t>
            </w:r>
          </w:p>
          <w:p>
            <w:pPr>
              <w:pStyle w:val="14"/>
              <w:jc w:val="center"/>
              <w:rPr>
                <w:rFonts w:ascii="Times New Roman" w:hAnsi="Times New Roman" w:eastAsiaTheme="minorEastAsia"/>
                <w:szCs w:val="21"/>
              </w:rPr>
            </w:pPr>
            <w:r>
              <w:rPr>
                <w:rFonts w:ascii="Times New Roman" w:hAnsi="Times New Roman" w:eastAsiaTheme="minorEastAsia"/>
                <w:szCs w:val="21"/>
              </w:rPr>
              <w:t>工作任务</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及时完成省、市委、市政府交办的工作任务及时性</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及时</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成本控制</w:t>
            </w:r>
          </w:p>
          <w:p>
            <w:pPr>
              <w:pStyle w:val="14"/>
              <w:jc w:val="center"/>
              <w:rPr>
                <w:rFonts w:ascii="Times New Roman" w:hAnsi="Times New Roman" w:eastAsiaTheme="minorEastAsia"/>
                <w:szCs w:val="21"/>
              </w:rPr>
            </w:pPr>
            <w:r>
              <w:rPr>
                <w:rFonts w:ascii="Times New Roman" w:hAnsi="Times New Roman" w:eastAsiaTheme="minorEastAsia"/>
                <w:szCs w:val="21"/>
              </w:rPr>
              <w:t>金额</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项目编制咨询评估费成本控制金额</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≤39万元</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szCs w:val="21"/>
              </w:rPr>
            </w:pPr>
            <w:r>
              <w:rPr>
                <w:rFonts w:ascii="Times New Roman" w:hAnsi="Times New Roman" w:eastAsiaTheme="minorEastAsia"/>
                <w:szCs w:val="21"/>
              </w:rPr>
              <w:t>效益指标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社会效益</w:t>
            </w:r>
          </w:p>
          <w:p>
            <w:pPr>
              <w:pStyle w:val="14"/>
              <w:jc w:val="center"/>
              <w:rPr>
                <w:rFonts w:ascii="Times New Roman" w:hAnsi="Times New Roman" w:eastAsiaTheme="minorEastAsia"/>
                <w:szCs w:val="21"/>
              </w:rPr>
            </w:pPr>
            <w:r>
              <w:rPr>
                <w:rFonts w:ascii="Times New Roman" w:hAnsi="Times New Roman" w:eastAsiaTheme="minorEastAsia"/>
                <w:szCs w:val="21"/>
              </w:rPr>
              <w:t>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提高全市</w:t>
            </w:r>
          </w:p>
          <w:p>
            <w:pPr>
              <w:pStyle w:val="14"/>
              <w:jc w:val="center"/>
              <w:rPr>
                <w:rFonts w:ascii="Times New Roman" w:hAnsi="Times New Roman" w:eastAsiaTheme="minorEastAsia"/>
                <w:szCs w:val="21"/>
              </w:rPr>
            </w:pPr>
            <w:r>
              <w:rPr>
                <w:rFonts w:ascii="Times New Roman" w:hAnsi="Times New Roman" w:eastAsiaTheme="minorEastAsia"/>
                <w:szCs w:val="21"/>
              </w:rPr>
              <w:t>经济建设</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通过加大项目引进，实施项目带动战略要求，拉动全市经济建设。</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提高</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szCs w:val="21"/>
              </w:rPr>
            </w:pPr>
            <w:r>
              <w:rPr>
                <w:rFonts w:ascii="Times New Roman" w:hAnsi="Times New Roman" w:eastAsiaTheme="minorEastAsia"/>
                <w:szCs w:val="21"/>
              </w:rPr>
              <w:t>满意度指标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服务对象</w:t>
            </w:r>
          </w:p>
          <w:p>
            <w:pPr>
              <w:pStyle w:val="14"/>
              <w:jc w:val="center"/>
              <w:rPr>
                <w:rFonts w:ascii="Times New Roman" w:hAnsi="Times New Roman" w:eastAsiaTheme="minorEastAsia"/>
                <w:szCs w:val="21"/>
              </w:rPr>
            </w:pPr>
            <w:r>
              <w:rPr>
                <w:rFonts w:ascii="Times New Roman" w:hAnsi="Times New Roman" w:eastAsiaTheme="minorEastAsia"/>
                <w:szCs w:val="21"/>
              </w:rPr>
              <w:t>满意度指标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受益群体</w:t>
            </w:r>
          </w:p>
          <w:p>
            <w:pPr>
              <w:pStyle w:val="14"/>
              <w:jc w:val="center"/>
              <w:rPr>
                <w:rFonts w:ascii="Times New Roman" w:hAnsi="Times New Roman" w:eastAsiaTheme="minorEastAsia"/>
                <w:szCs w:val="21"/>
              </w:rPr>
            </w:pPr>
            <w:r>
              <w:rPr>
                <w:rFonts w:ascii="Times New Roman" w:hAnsi="Times New Roman" w:eastAsiaTheme="minorEastAsia"/>
                <w:szCs w:val="21"/>
              </w:rPr>
              <w:t>满意度</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考核受益群体满意度</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≥90%</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7" w:name="_Toc_4_4_0000000013"/>
      <w:r>
        <w:rPr>
          <w:rFonts w:hint="eastAsia" w:eastAsia="黑体" w:cs="方正仿宋_GBK"/>
          <w:color w:val="000000"/>
          <w:sz w:val="32"/>
          <w:szCs w:val="32"/>
          <w:lang w:val="en-US" w:eastAsia="zh-CN"/>
        </w:rPr>
        <w:t>7</w:t>
      </w:r>
      <w:r>
        <w:rPr>
          <w:rFonts w:eastAsia="黑体" w:cs="方正仿宋_GBK"/>
          <w:color w:val="000000"/>
          <w:sz w:val="32"/>
          <w:szCs w:val="32"/>
        </w:rPr>
        <w:t>.电力设施安全监管经费绩效目标表</w:t>
      </w:r>
      <w:bookmarkEnd w:id="7"/>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13100022P00225010001R</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电力设施安全监管经费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29.00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29.00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主要用于通过项目的开展实现对电力行业企业保护电力设施 ，保 障电力设施安全运行工作的监管 ，保障全市电力设施安全平稳运行的实现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60%</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1.通过项目的开展实现对电力行业企业保护电力设施，保障电力设施安全运行工作的监管，提高全社会遵守《电力法》、《电力条例》及保护电力设施、安全用电的意识，保障全市电力设施安全平稳运行的实现。</w:t>
            </w:r>
          </w:p>
          <w:p>
            <w:pPr>
              <w:pStyle w:val="14"/>
              <w:rPr>
                <w:rFonts w:ascii="Times New Roman" w:hAnsi="Times New Roman" w:eastAsiaTheme="minorEastAsia"/>
              </w:rPr>
            </w:pPr>
            <w:r>
              <w:rPr>
                <w:rFonts w:ascii="Times New Roman" w:hAnsi="Times New Roman" w:eastAsiaTheme="minorEastAsia"/>
              </w:rPr>
              <w:t>2.通过项目的开展实现对电力行业企业保护电力设施，保障电力设施安全运行工作的监管，保障全市电力设施安全平稳运行的实现。</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检查单位</w:t>
            </w:r>
          </w:p>
          <w:p>
            <w:pPr>
              <w:pStyle w:val="14"/>
              <w:jc w:val="center"/>
              <w:rPr>
                <w:rFonts w:ascii="Times New Roman" w:hAnsi="Times New Roman" w:eastAsiaTheme="minorEastAsia"/>
              </w:rPr>
            </w:pPr>
            <w:r>
              <w:rPr>
                <w:rFonts w:ascii="Times New Roman" w:hAnsi="Times New Roman" w:eastAsiaTheme="minorEastAsia"/>
              </w:rPr>
              <w:t>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抽查全市电力设施单位比例</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全市电力设施</w:t>
            </w:r>
          </w:p>
          <w:p>
            <w:pPr>
              <w:pStyle w:val="14"/>
              <w:jc w:val="center"/>
              <w:rPr>
                <w:rFonts w:ascii="Times New Roman" w:hAnsi="Times New Roman" w:eastAsiaTheme="minorEastAsia"/>
              </w:rPr>
            </w:pPr>
            <w:r>
              <w:rPr>
                <w:rFonts w:ascii="Times New Roman" w:hAnsi="Times New Roman" w:eastAsiaTheme="minorEastAsia"/>
              </w:rPr>
              <w:t>单位数量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电力设施安全检查报告</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报告是否验收通过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是/否</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相关安全运行</w:t>
            </w:r>
          </w:p>
          <w:p>
            <w:pPr>
              <w:pStyle w:val="14"/>
              <w:jc w:val="center"/>
              <w:rPr>
                <w:rFonts w:ascii="Times New Roman" w:hAnsi="Times New Roman" w:eastAsiaTheme="minorEastAsia"/>
              </w:rPr>
            </w:pPr>
            <w:r>
              <w:rPr>
                <w:rFonts w:ascii="Times New Roman" w:hAnsi="Times New Roman" w:eastAsiaTheme="minorEastAsia"/>
              </w:rPr>
              <w:t>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全年电力设施安全运行</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年底前完成检查工作</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是/否</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电力设施安全</w:t>
            </w:r>
          </w:p>
          <w:p>
            <w:pPr>
              <w:pStyle w:val="14"/>
              <w:jc w:val="center"/>
              <w:rPr>
                <w:rFonts w:ascii="Times New Roman" w:hAnsi="Times New Roman" w:eastAsiaTheme="minorEastAsia"/>
              </w:rPr>
            </w:pPr>
            <w:r>
              <w:rPr>
                <w:rFonts w:ascii="Times New Roman" w:hAnsi="Times New Roman" w:eastAsiaTheme="minorEastAsia"/>
              </w:rPr>
              <w:t>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聘请第三方服务费</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≤29万元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保障电力设施安全运行</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安全隐患整改率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≥80%</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电力设施安全</w:t>
            </w:r>
          </w:p>
          <w:p>
            <w:pPr>
              <w:pStyle w:val="14"/>
              <w:jc w:val="center"/>
              <w:rPr>
                <w:rFonts w:ascii="Times New Roman" w:hAnsi="Times New Roman" w:eastAsiaTheme="minorEastAsia"/>
              </w:rPr>
            </w:pPr>
            <w:r>
              <w:rPr>
                <w:rFonts w:ascii="Times New Roman" w:hAnsi="Times New Roman" w:eastAsiaTheme="minorEastAsia"/>
              </w:rPr>
              <w:t>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服务对象满意度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对出具报告的满意度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≥95%</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8" w:name="_Toc_4_4_0000000014"/>
      <w:r>
        <w:rPr>
          <w:rFonts w:hint="eastAsia" w:eastAsia="黑体" w:cs="方正仿宋_GBK"/>
          <w:color w:val="000000"/>
          <w:sz w:val="32"/>
          <w:szCs w:val="32"/>
          <w:lang w:val="en-US" w:eastAsia="zh-CN"/>
        </w:rPr>
        <w:t>8</w:t>
      </w:r>
      <w:r>
        <w:rPr>
          <w:rFonts w:eastAsia="黑体" w:cs="方正仿宋_GBK"/>
          <w:color w:val="000000"/>
          <w:sz w:val="32"/>
          <w:szCs w:val="32"/>
        </w:rPr>
        <w:t>.发改委办公楼、平房防水工程项目经费绩效目标表</w:t>
      </w:r>
      <w:bookmarkEnd w:id="8"/>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13100022P002695100012</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发改委办公楼、平房防水工程项目经费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主要用于发改委三个院内办公楼、平房防水、内外墙、窗户、吊顶拆改工程，达到消除安全隐患、恢复和完善使用功能的目的。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40%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1.对发改委二个院内办公楼、平房防水、内外墙、窗户、吊顶等进行维修，达到消除安全隐患、恢复和完善使用功能的目的。</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办公用房</w:t>
            </w:r>
          </w:p>
          <w:p>
            <w:pPr>
              <w:pStyle w:val="14"/>
              <w:jc w:val="center"/>
              <w:rPr>
                <w:rFonts w:ascii="Times New Roman" w:hAnsi="Times New Roman" w:eastAsiaTheme="minorEastAsia"/>
              </w:rPr>
            </w:pPr>
            <w:r>
              <w:rPr>
                <w:rFonts w:ascii="Times New Roman" w:hAnsi="Times New Roman" w:eastAsiaTheme="minorEastAsia"/>
              </w:rPr>
              <w:t>维修</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办公用房维修</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1项</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办公用房维修</w:t>
            </w:r>
          </w:p>
          <w:p>
            <w:pPr>
              <w:pStyle w:val="14"/>
              <w:jc w:val="center"/>
              <w:rPr>
                <w:rFonts w:ascii="Times New Roman" w:hAnsi="Times New Roman" w:eastAsiaTheme="minorEastAsia"/>
              </w:rPr>
            </w:pPr>
            <w:r>
              <w:rPr>
                <w:rFonts w:ascii="Times New Roman" w:hAnsi="Times New Roman" w:eastAsiaTheme="minorEastAsia"/>
              </w:rPr>
              <w:t>改造请示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验收合格</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办公用房及附属设施经维修改造后，验收合格情况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合格</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验收合格资料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资金拨付</w:t>
            </w:r>
          </w:p>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办公用房维修改造资金拨付及时性</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成本支出控制在预算范围内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≤20万元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消除安全</w:t>
            </w:r>
          </w:p>
          <w:p>
            <w:pPr>
              <w:pStyle w:val="14"/>
              <w:jc w:val="center"/>
              <w:rPr>
                <w:rFonts w:ascii="Times New Roman" w:hAnsi="Times New Roman" w:eastAsiaTheme="minorEastAsia"/>
              </w:rPr>
            </w:pPr>
            <w:r>
              <w:rPr>
                <w:rFonts w:ascii="Times New Roman" w:hAnsi="Times New Roman" w:eastAsiaTheme="minorEastAsia"/>
              </w:rPr>
              <w:t>隐患</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消除安全隐患</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消除</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单位工作</w:t>
            </w:r>
          </w:p>
          <w:p>
            <w:pPr>
              <w:pStyle w:val="14"/>
              <w:jc w:val="center"/>
              <w:rPr>
                <w:rFonts w:ascii="Times New Roman" w:hAnsi="Times New Roman" w:eastAsiaTheme="minorEastAsia"/>
              </w:rPr>
            </w:pPr>
            <w:r>
              <w:rPr>
                <w:rFonts w:ascii="Times New Roman" w:hAnsi="Times New Roman" w:eastAsiaTheme="minorEastAsia"/>
              </w:rPr>
              <w:t>人员满意度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单位工作人员对此次维修的满意度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9" w:name="_Toc_4_4_0000000015"/>
      <w:r>
        <w:rPr>
          <w:rFonts w:hint="eastAsia" w:eastAsia="黑体" w:cs="方正仿宋_GBK"/>
          <w:color w:val="000000"/>
          <w:sz w:val="32"/>
          <w:szCs w:val="32"/>
          <w:lang w:val="en-US" w:eastAsia="zh-CN"/>
        </w:rPr>
        <w:t>9</w:t>
      </w:r>
      <w:r>
        <w:rPr>
          <w:rFonts w:eastAsia="黑体" w:cs="方正仿宋_GBK"/>
          <w:color w:val="000000"/>
          <w:sz w:val="32"/>
          <w:szCs w:val="32"/>
        </w:rPr>
        <w:t>.付日贷本息资金绩效目标表</w:t>
      </w:r>
      <w:bookmarkEnd w:id="9"/>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13100022P00226510001D</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付日贷本息资金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24.00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24.00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主要用于偿还日贷本息债务。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1.按照还款通知及时偿日贷本息债务，保障不出现债务纠纷问题。</w:t>
            </w:r>
          </w:p>
          <w:p>
            <w:pPr>
              <w:pStyle w:val="14"/>
              <w:rPr>
                <w:rFonts w:ascii="Times New Roman" w:hAnsi="Times New Roman" w:eastAsiaTheme="minorEastAsia"/>
              </w:rPr>
            </w:pPr>
            <w:r>
              <w:rPr>
                <w:rFonts w:ascii="Times New Roman" w:hAnsi="Times New Roman" w:eastAsiaTheme="minorEastAsia"/>
              </w:rPr>
              <w:t>2.及时偿日贷本息债务，保障不出现债务纠纷问题。</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日贷还本</w:t>
            </w:r>
          </w:p>
          <w:p>
            <w:pPr>
              <w:pStyle w:val="14"/>
              <w:jc w:val="center"/>
              <w:rPr>
                <w:rFonts w:ascii="Times New Roman" w:hAnsi="Times New Roman" w:eastAsiaTheme="minorEastAsia"/>
              </w:rPr>
            </w:pPr>
            <w:r>
              <w:rPr>
                <w:rFonts w:ascii="Times New Roman" w:hAnsi="Times New Roman" w:eastAsiaTheme="minorEastAsia"/>
              </w:rPr>
              <w:t>付息金额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河北省经济信息中心下发的还款通知和各项目单位日元贷款分年度还本付息表</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24万元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2021年还款通知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偿还债务</w:t>
            </w:r>
          </w:p>
          <w:p>
            <w:pPr>
              <w:pStyle w:val="14"/>
              <w:jc w:val="center"/>
              <w:rPr>
                <w:rFonts w:ascii="Times New Roman" w:hAnsi="Times New Roman" w:eastAsiaTheme="minorEastAsia"/>
              </w:rPr>
            </w:pPr>
            <w:r>
              <w:rPr>
                <w:rFonts w:ascii="Times New Roman" w:hAnsi="Times New Roman" w:eastAsiaTheme="minorEastAsia"/>
              </w:rPr>
              <w:t>工作</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还款情况完成率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2021年还款通知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及时偿还</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是否及时偿还</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2021年还款通知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控制还款额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控制日贷还款金额</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≤24万元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债务纠纷和不良影响事件发生情况</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及时还款，不造成社会不良影响</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≤1次</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2021年还款通知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还款满意度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还款情况的满意度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单位评测情况表</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10" w:name="_Toc_4_4_0000000016"/>
      <w:r>
        <w:rPr>
          <w:rFonts w:eastAsia="黑体" w:cs="方正仿宋_GBK"/>
          <w:color w:val="000000"/>
          <w:sz w:val="32"/>
          <w:szCs w:val="32"/>
        </w:rPr>
        <w:t>1</w:t>
      </w:r>
      <w:r>
        <w:rPr>
          <w:rFonts w:hint="eastAsia" w:eastAsia="黑体" w:cs="方正仿宋_GBK"/>
          <w:color w:val="000000"/>
          <w:sz w:val="32"/>
          <w:szCs w:val="32"/>
          <w:lang w:val="en-US" w:eastAsia="zh-CN"/>
        </w:rPr>
        <w:t>0</w:t>
      </w:r>
      <w:r>
        <w:rPr>
          <w:rFonts w:eastAsia="黑体" w:cs="方正仿宋_GBK"/>
          <w:color w:val="000000"/>
          <w:sz w:val="32"/>
          <w:szCs w:val="32"/>
        </w:rPr>
        <w:t>.购买电代煤第三方技术服务经费绩效目标表</w:t>
      </w:r>
      <w:bookmarkEnd w:id="10"/>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37"/>
        <w:gridCol w:w="1273"/>
        <w:gridCol w:w="1327"/>
        <w:gridCol w:w="1424"/>
        <w:gridCol w:w="1163"/>
        <w:gridCol w:w="1137"/>
        <w:gridCol w:w="1659"/>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61"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59"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3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600"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1310002180Z3YRUP7YOXC</w:t>
            </w:r>
          </w:p>
        </w:tc>
        <w:tc>
          <w:tcPr>
            <w:tcW w:w="1424"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3959" w:type="dxa"/>
            <w:gridSpan w:val="3"/>
            <w:vAlign w:val="center"/>
          </w:tcPr>
          <w:p>
            <w:pPr>
              <w:pStyle w:val="14"/>
              <w:jc w:val="center"/>
              <w:rPr>
                <w:rFonts w:ascii="Times New Roman" w:hAnsi="Times New Roman" w:eastAsiaTheme="minorEastAsia"/>
              </w:rPr>
            </w:pPr>
            <w:r>
              <w:rPr>
                <w:rFonts w:ascii="Times New Roman" w:hAnsi="Times New Roman" w:eastAsiaTheme="minorEastAsia"/>
              </w:rPr>
              <w:t>购买电代煤第三方技术服务经费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3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273"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327" w:type="dxa"/>
            <w:vAlign w:val="center"/>
          </w:tcPr>
          <w:p>
            <w:pPr>
              <w:pStyle w:val="14"/>
              <w:jc w:val="center"/>
              <w:rPr>
                <w:rFonts w:ascii="Times New Roman" w:hAnsi="Times New Roman" w:eastAsiaTheme="minorEastAsia"/>
              </w:rPr>
            </w:pPr>
            <w:r>
              <w:rPr>
                <w:rFonts w:ascii="Times New Roman" w:hAnsi="Times New Roman" w:eastAsiaTheme="minorEastAsia"/>
              </w:rPr>
              <w:t>11.56</w:t>
            </w:r>
          </w:p>
        </w:tc>
        <w:tc>
          <w:tcPr>
            <w:tcW w:w="1424"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163" w:type="dxa"/>
            <w:vAlign w:val="center"/>
          </w:tcPr>
          <w:p>
            <w:pPr>
              <w:pStyle w:val="14"/>
              <w:jc w:val="center"/>
              <w:rPr>
                <w:rFonts w:ascii="Times New Roman" w:hAnsi="Times New Roman" w:eastAsiaTheme="minorEastAsia"/>
              </w:rPr>
            </w:pPr>
            <w:r>
              <w:rPr>
                <w:rFonts w:ascii="Times New Roman" w:hAnsi="Times New Roman" w:eastAsiaTheme="minorEastAsia"/>
              </w:rPr>
              <w:t>11.56</w:t>
            </w:r>
          </w:p>
        </w:tc>
        <w:tc>
          <w:tcPr>
            <w:tcW w:w="1137"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59"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37" w:type="dxa"/>
            <w:vMerge w:val="continue"/>
          </w:tcPr>
          <w:p>
            <w:pPr>
              <w:rPr>
                <w:rFonts w:eastAsiaTheme="minorEastAsia"/>
              </w:rPr>
            </w:pPr>
          </w:p>
        </w:tc>
        <w:tc>
          <w:tcPr>
            <w:tcW w:w="7983" w:type="dxa"/>
            <w:gridSpan w:val="6"/>
            <w:vAlign w:val="center"/>
          </w:tcPr>
          <w:p>
            <w:pPr>
              <w:pStyle w:val="14"/>
              <w:rPr>
                <w:rFonts w:ascii="Times New Roman" w:hAnsi="Times New Roman" w:eastAsiaTheme="minorEastAsia"/>
              </w:rPr>
            </w:pPr>
            <w:r>
              <w:rPr>
                <w:rFonts w:ascii="Times New Roman" w:hAnsi="Times New Roman" w:eastAsiaTheme="minorEastAsia"/>
              </w:rPr>
              <w:t>预算资金为11.555552万元，用于支付聘请第三方专业机构合同尾款。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3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600"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24"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163"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796"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37" w:type="dxa"/>
            <w:vMerge w:val="continue"/>
          </w:tcPr>
          <w:p>
            <w:pPr>
              <w:rPr>
                <w:rFonts w:eastAsiaTheme="minorEastAsia"/>
              </w:rPr>
            </w:pPr>
          </w:p>
        </w:tc>
        <w:tc>
          <w:tcPr>
            <w:tcW w:w="2600"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24"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1163"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796"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3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8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1.通过项目的开展减少电代煤地区用电取暖安全事故，保障群众安全、温暖过冬。</w:t>
            </w:r>
          </w:p>
          <w:p>
            <w:pPr>
              <w:pStyle w:val="14"/>
              <w:rPr>
                <w:rFonts w:ascii="Times New Roman" w:hAnsi="Times New Roman" w:eastAsiaTheme="minorEastAsia"/>
              </w:rPr>
            </w:pPr>
            <w:r>
              <w:rPr>
                <w:rFonts w:ascii="Times New Roman" w:hAnsi="Times New Roman" w:eastAsiaTheme="minorEastAsia"/>
              </w:rPr>
              <w:t>2.通过项目的开展完成对全市电代煤工程安全质量检查，实现电代煤用户温暖过冬。</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电代煤安全检查报告</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电代煤安全检查报告</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≥1次</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电代煤安全检查报告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工作完成</w:t>
            </w:r>
          </w:p>
          <w:p>
            <w:pPr>
              <w:pStyle w:val="14"/>
              <w:jc w:val="center"/>
              <w:rPr>
                <w:rFonts w:ascii="Times New Roman" w:hAnsi="Times New Roman" w:eastAsiaTheme="minorEastAsia"/>
              </w:rPr>
            </w:pPr>
            <w:r>
              <w:rPr>
                <w:rFonts w:ascii="Times New Roman" w:hAnsi="Times New Roman" w:eastAsiaTheme="minorEastAsia"/>
              </w:rPr>
              <w:t>质量达标率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保质保量完成工作</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电代煤安全检查报告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资金拨付及时性</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支付尾款按合同约定支付</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≤11.56万元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保障群众</w:t>
            </w:r>
          </w:p>
          <w:p>
            <w:pPr>
              <w:pStyle w:val="14"/>
              <w:jc w:val="center"/>
              <w:rPr>
                <w:rFonts w:ascii="Times New Roman" w:hAnsi="Times New Roman" w:eastAsiaTheme="minorEastAsia"/>
              </w:rPr>
            </w:pPr>
            <w:r>
              <w:rPr>
                <w:rFonts w:ascii="Times New Roman" w:hAnsi="Times New Roman" w:eastAsiaTheme="minorEastAsia"/>
              </w:rPr>
              <w:t>安全</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通过项目的开展减少电代煤地区用电取暖安全事故，保障群众安全、温暖过冬。</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安全</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保障群众安全、温暖过冬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安全检查情况满意度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通过项目的开展完成对全市电代煤工程安全质量检查情况的满意度调查，每个电代煤县抽取10户进行满意度调查。</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11" w:name="_Toc_4_4_0000000017"/>
      <w:r>
        <w:rPr>
          <w:rFonts w:eastAsia="黑体" w:cs="方正仿宋_GBK"/>
          <w:color w:val="000000"/>
          <w:sz w:val="32"/>
          <w:szCs w:val="32"/>
        </w:rPr>
        <w:t>1</w:t>
      </w:r>
      <w:r>
        <w:rPr>
          <w:rFonts w:hint="eastAsia" w:eastAsia="黑体" w:cs="方正仿宋_GBK"/>
          <w:color w:val="000000"/>
          <w:sz w:val="32"/>
          <w:szCs w:val="32"/>
          <w:lang w:val="en-US" w:eastAsia="zh-CN"/>
        </w:rPr>
        <w:t>1</w:t>
      </w:r>
      <w:r>
        <w:rPr>
          <w:rFonts w:eastAsia="黑体" w:cs="方正仿宋_GBK"/>
          <w:color w:val="000000"/>
          <w:sz w:val="32"/>
          <w:szCs w:val="32"/>
        </w:rPr>
        <w:t>.购买电代煤第三方技术服务经费绩效目标表</w:t>
      </w:r>
      <w:bookmarkEnd w:id="11"/>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13100022P00225110001F</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购买电代煤第三方技术服务经费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主要用于聘请第三方专业机构对全市电代煤工程开展安全隐患排查。</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50%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1.通过项目的开展减少电代煤地区用电取暖安全事故，保障群众安全、温暖过冬。</w:t>
            </w:r>
          </w:p>
          <w:p>
            <w:pPr>
              <w:pStyle w:val="14"/>
              <w:rPr>
                <w:rFonts w:ascii="Times New Roman" w:hAnsi="Times New Roman" w:eastAsiaTheme="minorEastAsia"/>
              </w:rPr>
            </w:pPr>
            <w:r>
              <w:rPr>
                <w:rFonts w:ascii="Times New Roman" w:hAnsi="Times New Roman" w:eastAsiaTheme="minorEastAsia"/>
              </w:rPr>
              <w:t>2.通过项目的开展减少电代煤地区用电取暖安全事故。</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电代煤安全检查报告</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电代煤安全检查报告</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≥1份</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电代煤安全检查报告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工作完成</w:t>
            </w:r>
          </w:p>
          <w:p>
            <w:pPr>
              <w:pStyle w:val="14"/>
              <w:jc w:val="center"/>
              <w:rPr>
                <w:rFonts w:ascii="Times New Roman" w:hAnsi="Times New Roman" w:eastAsiaTheme="minorEastAsia"/>
              </w:rPr>
            </w:pPr>
            <w:r>
              <w:rPr>
                <w:rFonts w:ascii="Times New Roman" w:hAnsi="Times New Roman" w:eastAsiaTheme="minorEastAsia"/>
              </w:rPr>
              <w:t>质量达标率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保质保量完成工作</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电代煤安全检查报告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按时完成工作进度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安全检查时间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成本使用情况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≤20万元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保障群众</w:t>
            </w:r>
          </w:p>
          <w:p>
            <w:pPr>
              <w:pStyle w:val="14"/>
              <w:jc w:val="center"/>
              <w:rPr>
                <w:rFonts w:ascii="Times New Roman" w:hAnsi="Times New Roman" w:eastAsiaTheme="minorEastAsia"/>
              </w:rPr>
            </w:pPr>
            <w:r>
              <w:rPr>
                <w:rFonts w:ascii="Times New Roman" w:hAnsi="Times New Roman" w:eastAsiaTheme="minorEastAsia"/>
              </w:rPr>
              <w:t>安全</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通过项目的开展减少安全事故，保障群众安全、温暖过冬。</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安全</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保障群众安全、温暖过冬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安全检查</w:t>
            </w:r>
          </w:p>
          <w:p>
            <w:pPr>
              <w:pStyle w:val="14"/>
              <w:jc w:val="center"/>
              <w:rPr>
                <w:rFonts w:ascii="Times New Roman" w:hAnsi="Times New Roman" w:eastAsiaTheme="minorEastAsia"/>
              </w:rPr>
            </w:pPr>
            <w:r>
              <w:rPr>
                <w:rFonts w:ascii="Times New Roman" w:hAnsi="Times New Roman" w:eastAsiaTheme="minorEastAsia"/>
              </w:rPr>
              <w:t>情况满意度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每个电代煤县抽取用户进行满意度调查。</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12" w:name="_Toc_4_4_0000000018"/>
      <w:r>
        <w:rPr>
          <w:rFonts w:eastAsia="黑体" w:cs="方正仿宋_GBK"/>
          <w:color w:val="000000"/>
          <w:sz w:val="32"/>
          <w:szCs w:val="32"/>
        </w:rPr>
        <w:t>1</w:t>
      </w:r>
      <w:r>
        <w:rPr>
          <w:rFonts w:hint="eastAsia" w:eastAsia="黑体" w:cs="方正仿宋_GBK"/>
          <w:color w:val="000000"/>
          <w:sz w:val="32"/>
          <w:szCs w:val="32"/>
          <w:lang w:val="en-US" w:eastAsia="zh-CN"/>
        </w:rPr>
        <w:t>2</w:t>
      </w:r>
      <w:r>
        <w:rPr>
          <w:rFonts w:eastAsia="黑体" w:cs="方正仿宋_GBK"/>
          <w:color w:val="000000"/>
          <w:sz w:val="32"/>
          <w:szCs w:val="32"/>
        </w:rPr>
        <w:t>.救灾物资购置经费绩效目标表</w:t>
      </w:r>
      <w:bookmarkEnd w:id="12"/>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53"/>
        <w:gridCol w:w="1233"/>
        <w:gridCol w:w="1285"/>
        <w:gridCol w:w="1440"/>
        <w:gridCol w:w="1179"/>
        <w:gridCol w:w="1154"/>
        <w:gridCol w:w="16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44"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76"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53"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518"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13100021Z726KGXCPP9B5</w:t>
            </w:r>
          </w:p>
        </w:tc>
        <w:tc>
          <w:tcPr>
            <w:tcW w:w="1440"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09" w:type="dxa"/>
            <w:gridSpan w:val="3"/>
            <w:vAlign w:val="center"/>
          </w:tcPr>
          <w:p>
            <w:pPr>
              <w:pStyle w:val="14"/>
              <w:jc w:val="center"/>
              <w:rPr>
                <w:rFonts w:ascii="Times New Roman" w:hAnsi="Times New Roman" w:eastAsiaTheme="minorEastAsia"/>
              </w:rPr>
            </w:pPr>
            <w:r>
              <w:rPr>
                <w:rFonts w:ascii="Times New Roman" w:hAnsi="Times New Roman" w:eastAsiaTheme="minorEastAsia"/>
              </w:rPr>
              <w:t>救灾物资购置经费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53"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233"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85" w:type="dxa"/>
            <w:vAlign w:val="center"/>
          </w:tcPr>
          <w:p>
            <w:pPr>
              <w:pStyle w:val="14"/>
              <w:jc w:val="center"/>
              <w:rPr>
                <w:rFonts w:ascii="Times New Roman" w:hAnsi="Times New Roman" w:eastAsiaTheme="minorEastAsia"/>
              </w:rPr>
            </w:pPr>
            <w:r>
              <w:rPr>
                <w:rFonts w:ascii="Times New Roman" w:hAnsi="Times New Roman" w:eastAsiaTheme="minorEastAsia"/>
              </w:rPr>
              <w:t>358.19</w:t>
            </w:r>
          </w:p>
        </w:tc>
        <w:tc>
          <w:tcPr>
            <w:tcW w:w="1440"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179" w:type="dxa"/>
            <w:vAlign w:val="center"/>
          </w:tcPr>
          <w:p>
            <w:pPr>
              <w:pStyle w:val="14"/>
              <w:jc w:val="center"/>
              <w:rPr>
                <w:rFonts w:ascii="Times New Roman" w:hAnsi="Times New Roman" w:eastAsiaTheme="minorEastAsia"/>
              </w:rPr>
            </w:pPr>
            <w:r>
              <w:rPr>
                <w:rFonts w:ascii="Times New Roman" w:hAnsi="Times New Roman" w:eastAsiaTheme="minorEastAsia"/>
              </w:rPr>
              <w:t>358.19</w:t>
            </w:r>
          </w:p>
        </w:tc>
        <w:tc>
          <w:tcPr>
            <w:tcW w:w="1154"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76"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53" w:type="dxa"/>
            <w:vMerge w:val="continue"/>
          </w:tcPr>
          <w:p>
            <w:pPr>
              <w:rPr>
                <w:rFonts w:eastAsiaTheme="minorEastAsia"/>
              </w:rPr>
            </w:pPr>
          </w:p>
        </w:tc>
        <w:tc>
          <w:tcPr>
            <w:tcW w:w="7967" w:type="dxa"/>
            <w:gridSpan w:val="6"/>
            <w:vAlign w:val="center"/>
          </w:tcPr>
          <w:p>
            <w:pPr>
              <w:pStyle w:val="14"/>
              <w:rPr>
                <w:rFonts w:ascii="Times New Roman" w:hAnsi="Times New Roman" w:eastAsiaTheme="minorEastAsia"/>
              </w:rPr>
            </w:pPr>
            <w:r>
              <w:rPr>
                <w:rFonts w:ascii="Times New Roman" w:hAnsi="Times New Roman" w:eastAsiaTheme="minorEastAsia"/>
              </w:rPr>
              <w:t>预算资金358.184万元，其中财政资金358.184万元，主要用于救灾物资购置，完善三级救灾储备网络，确保做到及时救助，精准救助的要求。</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53"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518"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40"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179"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30"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53" w:type="dxa"/>
            <w:vMerge w:val="continue"/>
          </w:tcPr>
          <w:p>
            <w:pPr>
              <w:rPr>
                <w:rFonts w:eastAsiaTheme="minorEastAsia"/>
              </w:rPr>
            </w:pPr>
          </w:p>
        </w:tc>
        <w:tc>
          <w:tcPr>
            <w:tcW w:w="2518"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c>
          <w:tcPr>
            <w:tcW w:w="1440"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1179"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30"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53"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67"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1.通过项目的开展实现提升全市重大自然灾害防御能力，保证受灾群众基本生活得到及时救助，保证救灾物资安全及时有效，为重特大自然灾害救助提供有力支持。</w:t>
            </w:r>
          </w:p>
          <w:p>
            <w:pPr>
              <w:pStyle w:val="14"/>
              <w:rPr>
                <w:rFonts w:ascii="Times New Roman" w:hAnsi="Times New Roman" w:eastAsiaTheme="minorEastAsia"/>
              </w:rPr>
            </w:pPr>
            <w:r>
              <w:rPr>
                <w:rFonts w:ascii="Times New Roman" w:hAnsi="Times New Roman" w:eastAsiaTheme="minorEastAsia"/>
              </w:rPr>
              <w:t>2.通过项目的开展完成本年度市级救灾物资轮换，保证救灾物资储备的质量安全、数量达标，为自然灾害和突发公共事件发生时的紧急救助提供物资保障。</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合同数量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签订合同数量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采购合同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救灾物资</w:t>
            </w:r>
          </w:p>
          <w:p>
            <w:pPr>
              <w:pStyle w:val="14"/>
              <w:jc w:val="center"/>
              <w:rPr>
                <w:rFonts w:ascii="Times New Roman" w:hAnsi="Times New Roman" w:eastAsiaTheme="minorEastAsia"/>
              </w:rPr>
            </w:pPr>
            <w:r>
              <w:rPr>
                <w:rFonts w:ascii="Times New Roman" w:hAnsi="Times New Roman" w:eastAsiaTheme="minorEastAsia"/>
              </w:rPr>
              <w:t>质量完好率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无质量问题储备物资数量占全部储存数量的比例</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《救灾物资储备管理办法》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资金拨付及时性</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支付尾款</w:t>
            </w:r>
          </w:p>
          <w:p>
            <w:pPr>
              <w:pStyle w:val="14"/>
              <w:jc w:val="center"/>
              <w:rPr>
                <w:rFonts w:ascii="Times New Roman" w:hAnsi="Times New Roman" w:eastAsiaTheme="minorEastAsia"/>
              </w:rPr>
            </w:pPr>
            <w:r>
              <w:rPr>
                <w:rFonts w:ascii="Times New Roman" w:hAnsi="Times New Roman" w:eastAsiaTheme="minorEastAsia"/>
              </w:rPr>
              <w:t>费用</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按照合同约定支付尾款费用</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≤358.18万元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紧急救助</w:t>
            </w:r>
          </w:p>
          <w:p>
            <w:pPr>
              <w:pStyle w:val="14"/>
              <w:jc w:val="center"/>
              <w:rPr>
                <w:rFonts w:ascii="Times New Roman" w:hAnsi="Times New Roman" w:eastAsiaTheme="minorEastAsia"/>
              </w:rPr>
            </w:pPr>
            <w:r>
              <w:rPr>
                <w:rFonts w:ascii="Times New Roman" w:hAnsi="Times New Roman" w:eastAsiaTheme="minorEastAsia"/>
              </w:rPr>
              <w:t>社会达标率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救灾物资下拨及时、物资质量、数量达标。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≥95%</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《廊坊市自然灾害救助应急预案》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主管部门</w:t>
            </w:r>
          </w:p>
          <w:p>
            <w:pPr>
              <w:pStyle w:val="14"/>
              <w:jc w:val="center"/>
              <w:rPr>
                <w:rFonts w:ascii="Times New Roman" w:hAnsi="Times New Roman" w:eastAsiaTheme="minorEastAsia"/>
              </w:rPr>
            </w:pPr>
            <w:r>
              <w:rPr>
                <w:rFonts w:ascii="Times New Roman" w:hAnsi="Times New Roman" w:eastAsiaTheme="minorEastAsia"/>
              </w:rPr>
              <w:t>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主管部门对救灾物资的下拨时间、质量的满意度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pPr>
      <w:bookmarkStart w:id="13" w:name="_Toc_4_4_0000000019"/>
      <w:r>
        <w:rPr>
          <w:rFonts w:eastAsia="黑体" w:cs="方正仿宋_GBK"/>
          <w:color w:val="000000"/>
          <w:sz w:val="32"/>
          <w:szCs w:val="32"/>
        </w:rPr>
        <w:t>1</w:t>
      </w:r>
      <w:r>
        <w:rPr>
          <w:rFonts w:hint="eastAsia" w:eastAsia="黑体" w:cs="方正仿宋_GBK"/>
          <w:color w:val="000000"/>
          <w:sz w:val="32"/>
          <w:szCs w:val="32"/>
          <w:lang w:val="en-US" w:eastAsia="zh-CN"/>
        </w:rPr>
        <w:t>3</w:t>
      </w:r>
      <w:r>
        <w:rPr>
          <w:rFonts w:eastAsia="黑体" w:cs="方正仿宋_GBK"/>
          <w:color w:val="000000"/>
          <w:sz w:val="32"/>
          <w:szCs w:val="32"/>
        </w:rPr>
        <w:t>.救灾物资购置经费绩效目标表</w:t>
      </w:r>
      <w:bookmarkEnd w:id="13"/>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13100022P00228610001H</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救灾物资购置经费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1130.86</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1130.86</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主要用于救灾物资购置，完善三级救灾储备网络，确保做到及时救助，精准救助的要求。</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1.通过项目的开展实现提升全市重大自然灾害防御能力，保证受灾群众基本生活得到及时救助，保证救灾物资安全及时有效，为重特大自然灾害救助提供有力支持。</w:t>
            </w:r>
          </w:p>
          <w:p>
            <w:pPr>
              <w:pStyle w:val="14"/>
              <w:rPr>
                <w:rFonts w:ascii="Times New Roman" w:hAnsi="Times New Roman" w:eastAsiaTheme="minorEastAsia"/>
              </w:rPr>
            </w:pPr>
            <w:r>
              <w:rPr>
                <w:rFonts w:ascii="Times New Roman" w:hAnsi="Times New Roman" w:eastAsiaTheme="minorEastAsia"/>
              </w:rPr>
              <w:t>2.通过项目的开展完成本年度市级救灾物资轮换，保证救灾物资储备的质量安全、数量达标，为自然灾害和突发公共事件发生时的紧急救助提供物资保障。</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救灾物资</w:t>
            </w:r>
          </w:p>
          <w:p>
            <w:pPr>
              <w:pStyle w:val="14"/>
              <w:jc w:val="center"/>
              <w:rPr>
                <w:rFonts w:hint="eastAsia" w:ascii="Times New Roman" w:hAnsi="Times New Roman" w:eastAsiaTheme="minorEastAsia"/>
                <w:lang w:eastAsia="zh-CN"/>
              </w:rPr>
            </w:pPr>
            <w:r>
              <w:rPr>
                <w:rFonts w:ascii="Times New Roman" w:hAnsi="Times New Roman" w:eastAsiaTheme="minorEastAsia"/>
              </w:rPr>
              <w:t>储备数量</w:t>
            </w:r>
          </w:p>
          <w:p>
            <w:pPr>
              <w:pStyle w:val="14"/>
              <w:jc w:val="center"/>
              <w:rPr>
                <w:rFonts w:ascii="Times New Roman" w:hAnsi="Times New Roman" w:eastAsiaTheme="minorEastAsia"/>
              </w:rPr>
            </w:pPr>
            <w:r>
              <w:rPr>
                <w:rFonts w:ascii="Times New Roman" w:hAnsi="Times New Roman" w:eastAsiaTheme="minorEastAsia"/>
              </w:rPr>
              <w:t>达标率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按照《市自然灾害救助应急预案》三级响应标准安排储备物资</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《廊坊市自然</w:t>
            </w:r>
          </w:p>
          <w:p>
            <w:pPr>
              <w:pStyle w:val="14"/>
              <w:jc w:val="center"/>
              <w:rPr>
                <w:rFonts w:hint="eastAsia" w:ascii="Times New Roman" w:hAnsi="Times New Roman" w:eastAsiaTheme="minorEastAsia"/>
                <w:lang w:eastAsia="zh-CN"/>
              </w:rPr>
            </w:pPr>
            <w:r>
              <w:rPr>
                <w:rFonts w:ascii="Times New Roman" w:hAnsi="Times New Roman" w:eastAsiaTheme="minorEastAsia"/>
              </w:rPr>
              <w:t>灾害救助应急</w:t>
            </w:r>
          </w:p>
          <w:p>
            <w:pPr>
              <w:pStyle w:val="14"/>
              <w:jc w:val="center"/>
              <w:rPr>
                <w:rFonts w:ascii="Times New Roman" w:hAnsi="Times New Roman" w:eastAsiaTheme="minorEastAsia"/>
              </w:rPr>
            </w:pPr>
            <w:r>
              <w:rPr>
                <w:rFonts w:ascii="Times New Roman" w:hAnsi="Times New Roman" w:eastAsiaTheme="minorEastAsia"/>
              </w:rPr>
              <w:t>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救灾物资质量完好率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无质量问题储备物资数量占全部储存数量的比例</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《救灾物资储备管理办法》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救灾物资下拨时间</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按照《市自然灾害救助应急预案》三级响应，灾情发生后24小时之内下拨到灾区。</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＜24小时</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《廊坊市自然</w:t>
            </w:r>
          </w:p>
          <w:p>
            <w:pPr>
              <w:pStyle w:val="14"/>
              <w:jc w:val="center"/>
              <w:rPr>
                <w:rFonts w:hint="eastAsia" w:ascii="Times New Roman" w:hAnsi="Times New Roman" w:eastAsiaTheme="minorEastAsia"/>
                <w:lang w:eastAsia="zh-CN"/>
              </w:rPr>
            </w:pPr>
            <w:r>
              <w:rPr>
                <w:rFonts w:ascii="Times New Roman" w:hAnsi="Times New Roman" w:eastAsiaTheme="minorEastAsia"/>
              </w:rPr>
              <w:t>灾害救助应急</w:t>
            </w:r>
          </w:p>
          <w:p>
            <w:pPr>
              <w:pStyle w:val="14"/>
              <w:jc w:val="center"/>
              <w:rPr>
                <w:rFonts w:ascii="Times New Roman" w:hAnsi="Times New Roman" w:eastAsiaTheme="minorEastAsia"/>
              </w:rPr>
            </w:pPr>
            <w:r>
              <w:rPr>
                <w:rFonts w:ascii="Times New Roman" w:hAnsi="Times New Roman" w:eastAsiaTheme="minorEastAsia"/>
              </w:rPr>
              <w:t>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控制储备物资费用支出</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≤1130.86万元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紧急救助</w:t>
            </w:r>
          </w:p>
          <w:p>
            <w:pPr>
              <w:pStyle w:val="14"/>
              <w:jc w:val="center"/>
              <w:rPr>
                <w:rFonts w:ascii="Times New Roman" w:hAnsi="Times New Roman" w:eastAsiaTheme="minorEastAsia"/>
              </w:rPr>
            </w:pPr>
            <w:r>
              <w:rPr>
                <w:rFonts w:ascii="Times New Roman" w:hAnsi="Times New Roman" w:eastAsiaTheme="minorEastAsia"/>
              </w:rPr>
              <w:t>社会达标率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救灾物资下拨及时、物资质量、数量达标。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≥95%</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《廊坊市自然</w:t>
            </w:r>
          </w:p>
          <w:p>
            <w:pPr>
              <w:pStyle w:val="14"/>
              <w:jc w:val="center"/>
              <w:rPr>
                <w:rFonts w:hint="eastAsia" w:ascii="Times New Roman" w:hAnsi="Times New Roman" w:eastAsiaTheme="minorEastAsia"/>
                <w:lang w:eastAsia="zh-CN"/>
              </w:rPr>
            </w:pPr>
            <w:r>
              <w:rPr>
                <w:rFonts w:ascii="Times New Roman" w:hAnsi="Times New Roman" w:eastAsiaTheme="minorEastAsia"/>
              </w:rPr>
              <w:t>灾害救助应急</w:t>
            </w:r>
          </w:p>
          <w:p>
            <w:pPr>
              <w:pStyle w:val="14"/>
              <w:jc w:val="center"/>
              <w:rPr>
                <w:rFonts w:ascii="Times New Roman" w:hAnsi="Times New Roman" w:eastAsiaTheme="minorEastAsia"/>
              </w:rPr>
            </w:pPr>
            <w:r>
              <w:rPr>
                <w:rFonts w:ascii="Times New Roman" w:hAnsi="Times New Roman" w:eastAsiaTheme="minorEastAsia"/>
              </w:rPr>
              <w:t>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主管部门</w:t>
            </w:r>
          </w:p>
          <w:p>
            <w:pPr>
              <w:pStyle w:val="14"/>
              <w:jc w:val="center"/>
              <w:rPr>
                <w:rFonts w:ascii="Times New Roman" w:hAnsi="Times New Roman" w:eastAsiaTheme="minorEastAsia"/>
              </w:rPr>
            </w:pPr>
            <w:r>
              <w:rPr>
                <w:rFonts w:ascii="Times New Roman" w:hAnsi="Times New Roman" w:eastAsiaTheme="minorEastAsia"/>
              </w:rPr>
              <w:t>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主管部门对救灾物资的下拨时间、质量的满意度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rPr>
          <w:rFonts w:eastAsia="黑体" w:cs="方正仿宋_GBK"/>
          <w:color w:val="000000"/>
          <w:sz w:val="32"/>
          <w:szCs w:val="32"/>
        </w:rPr>
      </w:pPr>
      <w:bookmarkStart w:id="14" w:name="_Toc_4_4_0000000020"/>
      <w:r>
        <w:rPr>
          <w:rFonts w:eastAsia="黑体" w:cs="方正仿宋_GBK"/>
          <w:color w:val="000000"/>
          <w:sz w:val="32"/>
          <w:szCs w:val="32"/>
        </w:rPr>
        <w:t>1</w:t>
      </w:r>
      <w:r>
        <w:rPr>
          <w:rFonts w:hint="eastAsia" w:eastAsia="黑体" w:cs="方正仿宋_GBK"/>
          <w:color w:val="000000"/>
          <w:sz w:val="32"/>
          <w:szCs w:val="32"/>
          <w:lang w:val="en-US" w:eastAsia="zh-CN"/>
        </w:rPr>
        <w:t>4</w:t>
      </w:r>
      <w:r>
        <w:rPr>
          <w:rFonts w:eastAsia="黑体" w:cs="方正仿宋_GBK"/>
          <w:color w:val="000000"/>
          <w:sz w:val="32"/>
          <w:szCs w:val="32"/>
        </w:rPr>
        <w:t>.廊坊市节能项目专项资金绩效目标表</w:t>
      </w:r>
      <w:bookmarkEnd w:id="14"/>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13100022P002252100015</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廊坊市节能项目专项资金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300.00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300.00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主要用于设立专项引导资金，筛选扶持一批重大节能项目，为推动生态环境治理工作，加快企业节能技术升级改造。</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1.通过设立专项引导资金，筛选扶持一批重大节能项目，为推动生态环境治理工作，加快企业节能技术升级改造。</w:t>
            </w:r>
          </w:p>
          <w:p>
            <w:pPr>
              <w:pStyle w:val="14"/>
              <w:rPr>
                <w:rFonts w:ascii="Times New Roman" w:hAnsi="Times New Roman" w:eastAsiaTheme="minorEastAsia"/>
              </w:rPr>
            </w:pPr>
            <w:r>
              <w:rPr>
                <w:rFonts w:ascii="Times New Roman" w:hAnsi="Times New Roman" w:eastAsiaTheme="minorEastAsia"/>
              </w:rPr>
              <w:t>2.通过设立专项引导资金，用于为推动廊坊市生态环境治理工作，加快企业节能技术升级改造。</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拨付相关县区项目单位</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 xml:space="preserve">拨付相关县区项目单位数量 </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依据文件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符合拨付文件标准</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符合拨付相关县区项目企业</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《廊坊市节能</w:t>
            </w:r>
          </w:p>
          <w:p>
            <w:pPr>
              <w:pStyle w:val="14"/>
              <w:jc w:val="center"/>
              <w:rPr>
                <w:rFonts w:hint="eastAsia" w:ascii="Times New Roman" w:hAnsi="Times New Roman" w:eastAsiaTheme="minorEastAsia"/>
                <w:lang w:eastAsia="zh-CN"/>
              </w:rPr>
            </w:pPr>
            <w:r>
              <w:rPr>
                <w:rFonts w:ascii="Times New Roman" w:hAnsi="Times New Roman" w:eastAsiaTheme="minorEastAsia"/>
              </w:rPr>
              <w:t>项目专项资金</w:t>
            </w:r>
          </w:p>
          <w:p>
            <w:pPr>
              <w:pStyle w:val="14"/>
              <w:jc w:val="center"/>
              <w:rPr>
                <w:rFonts w:ascii="Times New Roman" w:hAnsi="Times New Roman" w:eastAsiaTheme="minorEastAsia"/>
              </w:rPr>
            </w:pPr>
            <w:r>
              <w:rPr>
                <w:rFonts w:ascii="Times New Roman" w:hAnsi="Times New Roman" w:eastAsiaTheme="minorEastAsia"/>
              </w:rPr>
              <w:t>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资金拨付</w:t>
            </w:r>
          </w:p>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考核资金是否及时拨付到相关县（区）项目企业</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拨付单据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考核项目实施过程中费用支出是否控制在预算范围内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≤300万元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定额标准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提升企业节能技术升级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企业节能技术能力有所提升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提升</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补贴满意度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受补贴企业满意度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问卷调查</w:t>
            </w:r>
          </w:p>
        </w:tc>
      </w:tr>
    </w:tbl>
    <w:p>
      <w:pPr>
        <w:sectPr>
          <w:pgSz w:w="11900" w:h="16840"/>
          <w:pgMar w:top="1701" w:right="1418" w:bottom="1701" w:left="1418" w:header="720" w:footer="1247" w:gutter="0"/>
          <w:cols w:space="720" w:num="1"/>
        </w:sectPr>
      </w:pPr>
    </w:p>
    <w:p>
      <w:pPr>
        <w:ind w:firstLine="640" w:firstLineChars="200"/>
        <w:outlineLvl w:val="3"/>
      </w:pPr>
      <w:bookmarkStart w:id="15" w:name="_Toc_4_4_0000000021"/>
      <w:r>
        <w:rPr>
          <w:rFonts w:eastAsia="黑体" w:cs="方正仿宋_GBK"/>
          <w:color w:val="000000"/>
          <w:sz w:val="32"/>
          <w:szCs w:val="32"/>
        </w:rPr>
        <w:t>1</w:t>
      </w:r>
      <w:r>
        <w:rPr>
          <w:rFonts w:hint="eastAsia" w:eastAsia="黑体" w:cs="方正仿宋_GBK"/>
          <w:color w:val="000000"/>
          <w:sz w:val="32"/>
          <w:szCs w:val="32"/>
          <w:lang w:val="en-US" w:eastAsia="zh-CN"/>
        </w:rPr>
        <w:t>5</w:t>
      </w:r>
      <w:r>
        <w:rPr>
          <w:rFonts w:eastAsia="黑体" w:cs="方正仿宋_GBK"/>
          <w:color w:val="000000"/>
          <w:sz w:val="32"/>
          <w:szCs w:val="32"/>
        </w:rPr>
        <w:t>.廊坊市康养产业发展“十四五”规划编制经费绩效目标表</w:t>
      </w:r>
      <w:bookmarkEnd w:id="15"/>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13100022P002687100016</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廊坊市康养产业发展“十四五”规划编制经费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29.00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29.00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预算资金30万元，其中财政资金30万元，主要用于委托第三方，编制《廊坊市康养产业发展“十四五”规划》费用。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60%</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1.通过规划的编制，指导廊坊市康养产业的发展，以满足人民群众对美好生活的需要，构建全生命全链条的康养产业体系，打造廊坊市新的经济增长点，为全面建设经济强市、美丽廊坊做出积极的贡献。</w:t>
            </w:r>
          </w:p>
          <w:p>
            <w:pPr>
              <w:pStyle w:val="14"/>
              <w:rPr>
                <w:rFonts w:ascii="Times New Roman" w:hAnsi="Times New Roman" w:eastAsiaTheme="minorEastAsia"/>
              </w:rPr>
            </w:pPr>
            <w:r>
              <w:rPr>
                <w:rFonts w:ascii="Times New Roman" w:hAnsi="Times New Roman" w:eastAsiaTheme="minorEastAsia"/>
              </w:rPr>
              <w:t>2.通过项目的开展完成康养产业发展顶层设计，明确产业发展基础、评价优势与不足、研判发展目标、优化产业空间布局，确定“十四五”重点任务及规划落实的保障措施，为康养产业发展提供参考依据。</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报告文本数</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考察编制报告文本数量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1份</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编制报告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通过政府</w:t>
            </w:r>
          </w:p>
          <w:p>
            <w:pPr>
              <w:pStyle w:val="14"/>
              <w:jc w:val="center"/>
              <w:rPr>
                <w:rFonts w:ascii="Times New Roman" w:hAnsi="Times New Roman" w:eastAsiaTheme="minorEastAsia"/>
              </w:rPr>
            </w:pPr>
            <w:r>
              <w:rPr>
                <w:rFonts w:ascii="Times New Roman" w:hAnsi="Times New Roman" w:eastAsiaTheme="minorEastAsia"/>
              </w:rPr>
              <w:t>专题会议</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经审议通过，面向社会公开</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廊坊市政府网站发布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完成及时性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规定的时间节点编制完成时间</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按照合同要求完成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编制经费成本有效的控制在预算范围内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≤30万</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社会效益指标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指导县市区康养产业</w:t>
            </w:r>
          </w:p>
          <w:p>
            <w:pPr>
              <w:pStyle w:val="14"/>
              <w:jc w:val="center"/>
              <w:rPr>
                <w:rFonts w:ascii="Times New Roman" w:hAnsi="Times New Roman" w:eastAsiaTheme="minorEastAsia"/>
              </w:rPr>
            </w:pPr>
            <w:r>
              <w:rPr>
                <w:rFonts w:ascii="Times New Roman" w:hAnsi="Times New Roman" w:eastAsiaTheme="minorEastAsia"/>
              </w:rPr>
              <w:t>发展工作</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指导县市区康养产业发展工作</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指导</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服务对象满意度指标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相关部门</w:t>
            </w:r>
          </w:p>
          <w:p>
            <w:pPr>
              <w:pStyle w:val="14"/>
              <w:jc w:val="center"/>
              <w:rPr>
                <w:rFonts w:ascii="Times New Roman" w:hAnsi="Times New Roman" w:eastAsiaTheme="minorEastAsia"/>
              </w:rPr>
            </w:pPr>
            <w:r>
              <w:rPr>
                <w:rFonts w:ascii="Times New Roman" w:hAnsi="Times New Roman" w:eastAsiaTheme="minorEastAsia"/>
              </w:rPr>
              <w:t>科室满意度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相关部门科室反馈意见</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16" w:name="_Toc_4_4_0000000022"/>
      <w:r>
        <w:rPr>
          <w:rFonts w:eastAsia="黑体" w:cs="方正仿宋_GBK"/>
          <w:color w:val="000000"/>
          <w:sz w:val="32"/>
          <w:szCs w:val="32"/>
        </w:rPr>
        <w:t>1</w:t>
      </w:r>
      <w:r>
        <w:rPr>
          <w:rFonts w:hint="eastAsia" w:eastAsia="黑体" w:cs="方正仿宋_GBK"/>
          <w:color w:val="000000"/>
          <w:sz w:val="32"/>
          <w:szCs w:val="32"/>
          <w:lang w:val="en-US" w:eastAsia="zh-CN"/>
        </w:rPr>
        <w:t>6</w:t>
      </w:r>
      <w:r>
        <w:rPr>
          <w:rFonts w:eastAsia="黑体" w:cs="方正仿宋_GBK"/>
          <w:color w:val="000000"/>
          <w:sz w:val="32"/>
          <w:szCs w:val="32"/>
        </w:rPr>
        <w:t>.廊坊市粮油质量检测中心实验室建设资金绩效目标表</w:t>
      </w:r>
      <w:bookmarkEnd w:id="16"/>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25"/>
        <w:gridCol w:w="1301"/>
        <w:gridCol w:w="1357"/>
        <w:gridCol w:w="1412"/>
        <w:gridCol w:w="1151"/>
        <w:gridCol w:w="1126"/>
        <w:gridCol w:w="164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7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4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25"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658"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13100021RG7FQVT7CGPGX</w:t>
            </w:r>
          </w:p>
        </w:tc>
        <w:tc>
          <w:tcPr>
            <w:tcW w:w="1412"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3925"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廊坊市粮油质量检测中心实验室建设资金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25"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301"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357" w:type="dxa"/>
            <w:vAlign w:val="center"/>
          </w:tcPr>
          <w:p>
            <w:pPr>
              <w:pStyle w:val="14"/>
              <w:jc w:val="center"/>
              <w:rPr>
                <w:rFonts w:ascii="Times New Roman" w:hAnsi="Times New Roman" w:eastAsiaTheme="minorEastAsia"/>
              </w:rPr>
            </w:pPr>
            <w:r>
              <w:rPr>
                <w:rFonts w:ascii="Times New Roman" w:hAnsi="Times New Roman" w:eastAsiaTheme="minorEastAsia"/>
              </w:rPr>
              <w:t>208.65</w:t>
            </w:r>
          </w:p>
        </w:tc>
        <w:tc>
          <w:tcPr>
            <w:tcW w:w="1412"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151" w:type="dxa"/>
            <w:vAlign w:val="center"/>
          </w:tcPr>
          <w:p>
            <w:pPr>
              <w:pStyle w:val="14"/>
              <w:jc w:val="center"/>
              <w:rPr>
                <w:rFonts w:ascii="Times New Roman" w:hAnsi="Times New Roman" w:eastAsiaTheme="minorEastAsia"/>
              </w:rPr>
            </w:pPr>
            <w:r>
              <w:rPr>
                <w:rFonts w:ascii="Times New Roman" w:hAnsi="Times New Roman" w:eastAsiaTheme="minorEastAsia"/>
              </w:rPr>
              <w:t>208.65</w:t>
            </w:r>
          </w:p>
        </w:tc>
        <w:tc>
          <w:tcPr>
            <w:tcW w:w="112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4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25" w:type="dxa"/>
            <w:vMerge w:val="continue"/>
          </w:tcPr>
          <w:p>
            <w:pPr>
              <w:rPr>
                <w:rFonts w:eastAsiaTheme="minorEastAsia"/>
              </w:rPr>
            </w:pPr>
          </w:p>
        </w:tc>
        <w:tc>
          <w:tcPr>
            <w:tcW w:w="7995" w:type="dxa"/>
            <w:gridSpan w:val="6"/>
            <w:vAlign w:val="center"/>
          </w:tcPr>
          <w:p>
            <w:pPr>
              <w:pStyle w:val="14"/>
              <w:rPr>
                <w:rFonts w:ascii="Times New Roman" w:hAnsi="Times New Roman" w:eastAsiaTheme="minorEastAsia"/>
              </w:rPr>
            </w:pPr>
            <w:r>
              <w:rPr>
                <w:rFonts w:ascii="Times New Roman" w:hAnsi="Times New Roman" w:eastAsiaTheme="minorEastAsia"/>
              </w:rPr>
              <w:t>该项目资金主要用于支付粮油质量检测中心实验室建设后期工程费用。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25"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658"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12"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151"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7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25" w:type="dxa"/>
            <w:vMerge w:val="continue"/>
          </w:tcPr>
          <w:p>
            <w:pPr>
              <w:rPr>
                <w:rFonts w:eastAsiaTheme="minorEastAsia"/>
              </w:rPr>
            </w:pPr>
          </w:p>
        </w:tc>
        <w:tc>
          <w:tcPr>
            <w:tcW w:w="2658"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12"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151" w:type="dxa"/>
            <w:vAlign w:val="center"/>
          </w:tcPr>
          <w:p>
            <w:pPr>
              <w:pStyle w:val="15"/>
              <w:rPr>
                <w:rFonts w:ascii="Times New Roman" w:hAnsi="Times New Roman" w:eastAsiaTheme="minorEastAsia"/>
              </w:rPr>
            </w:pPr>
            <w:r>
              <w:rPr>
                <w:rFonts w:ascii="Times New Roman" w:hAnsi="Times New Roman" w:eastAsiaTheme="minorEastAsia"/>
              </w:rPr>
              <w:t>70%</w:t>
            </w:r>
          </w:p>
        </w:tc>
        <w:tc>
          <w:tcPr>
            <w:tcW w:w="27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25"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95" w:type="dxa"/>
            <w:gridSpan w:val="6"/>
            <w:vAlign w:val="center"/>
          </w:tcPr>
          <w:p>
            <w:pPr>
              <w:pStyle w:val="14"/>
              <w:rPr>
                <w:rFonts w:ascii="Times New Roman" w:hAnsi="Times New Roman" w:eastAsiaTheme="minorEastAsia"/>
              </w:rPr>
            </w:pPr>
            <w:r>
              <w:rPr>
                <w:rFonts w:ascii="Times New Roman" w:hAnsi="Times New Roman" w:eastAsiaTheme="minorEastAsia"/>
              </w:rPr>
              <w:t>1.完成廊坊市粮油质量检测中心实验室改造和基础设施配套，并投入使用，达到提升我市粮油质量和安全项目检测能力目的。</w:t>
            </w:r>
          </w:p>
          <w:p>
            <w:pPr>
              <w:pStyle w:val="14"/>
              <w:rPr>
                <w:rFonts w:ascii="Times New Roman" w:hAnsi="Times New Roman" w:eastAsiaTheme="minorEastAsia"/>
              </w:rPr>
            </w:pPr>
            <w:r>
              <w:rPr>
                <w:rFonts w:ascii="Times New Roman" w:hAnsi="Times New Roman" w:eastAsiaTheme="minorEastAsia"/>
              </w:rPr>
              <w:t>2.完成廊坊市粮油质量检测中心实验室改造和基础设施配套，进行试运行检测测试，并投入使用。</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签订合同</w:t>
            </w:r>
          </w:p>
          <w:p>
            <w:pPr>
              <w:pStyle w:val="14"/>
              <w:jc w:val="center"/>
              <w:rPr>
                <w:rFonts w:ascii="Times New Roman" w:hAnsi="Times New Roman" w:eastAsiaTheme="minorEastAsia"/>
              </w:rPr>
            </w:pPr>
            <w:r>
              <w:rPr>
                <w:rFonts w:ascii="Times New Roman" w:hAnsi="Times New Roman" w:eastAsiaTheme="minorEastAsia"/>
              </w:rPr>
              <w:t>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签订合同数量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≥3个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装修改造</w:t>
            </w:r>
          </w:p>
          <w:p>
            <w:pPr>
              <w:pStyle w:val="14"/>
              <w:jc w:val="center"/>
              <w:rPr>
                <w:rFonts w:ascii="Times New Roman" w:hAnsi="Times New Roman" w:eastAsiaTheme="minorEastAsia"/>
              </w:rPr>
            </w:pPr>
            <w:r>
              <w:rPr>
                <w:rFonts w:ascii="Times New Roman" w:hAnsi="Times New Roman" w:eastAsiaTheme="minorEastAsia"/>
              </w:rPr>
              <w:t>质量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实验室装修改造合格率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合格</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验收资料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资金拨付</w:t>
            </w:r>
          </w:p>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按照合同要求及时拨付资金</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按照合同约定金额支付</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合同约定</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食品质量</w:t>
            </w:r>
          </w:p>
          <w:p>
            <w:pPr>
              <w:pStyle w:val="14"/>
              <w:jc w:val="center"/>
              <w:rPr>
                <w:rFonts w:ascii="Times New Roman" w:hAnsi="Times New Roman" w:eastAsiaTheme="minorEastAsia"/>
              </w:rPr>
            </w:pPr>
            <w:r>
              <w:rPr>
                <w:rFonts w:ascii="Times New Roman" w:hAnsi="Times New Roman" w:eastAsiaTheme="minorEastAsia"/>
              </w:rPr>
              <w:t>安全</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能够保障粮油产品质量安全，让人民群众吃上放心粮油</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合格</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相关科室的满意度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相关科室对粮油质量检测中心实验室改造完成结果的满意度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17" w:name="_Toc_4_4_0000000023"/>
      <w:r>
        <w:rPr>
          <w:rFonts w:hint="eastAsia" w:eastAsia="黑体" w:cs="方正仿宋_GBK"/>
          <w:color w:val="000000"/>
          <w:sz w:val="32"/>
          <w:szCs w:val="32"/>
          <w:lang w:val="en-US" w:eastAsia="zh-CN"/>
        </w:rPr>
        <w:t>17</w:t>
      </w:r>
      <w:r>
        <w:rPr>
          <w:rFonts w:eastAsia="黑体" w:cs="方正仿宋_GBK"/>
          <w:color w:val="000000"/>
          <w:sz w:val="32"/>
          <w:szCs w:val="32"/>
        </w:rPr>
        <w:t>.廊坊市粮油质量检验监测工作运行经费绩效目标表</w:t>
      </w:r>
      <w:bookmarkEnd w:id="17"/>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13100022P003162100017</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廊坊市粮油质量检验监测工作运行经费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69.00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69.00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廊坊市粮油质量监测经费主要用于新收获粮食、库存粮、轮换粮和油品的质量、品质和食品安全指标的检验监测工作和制度体系建设以及实验人员学习培训工作和试验耗材用品的支出。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30%</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1.通过项目的开展做好粮食质量安全检验检测工作，为廊坊市粮食质量安全监督检测工作提供数据依据，满足人民群众对食品安全的需求，确保不发生重大粮食质量安全事故。</w:t>
            </w:r>
          </w:p>
          <w:p>
            <w:pPr>
              <w:pStyle w:val="14"/>
              <w:rPr>
                <w:rFonts w:ascii="Times New Roman" w:hAnsi="Times New Roman" w:eastAsiaTheme="minorEastAsia"/>
              </w:rPr>
            </w:pPr>
            <w:r>
              <w:rPr>
                <w:rFonts w:ascii="Times New Roman" w:hAnsi="Times New Roman" w:eastAsiaTheme="minorEastAsia"/>
              </w:rPr>
              <w:t>2.廊坊市粮油质量安全监测工作，拟定检验检测样品数350个。为廊坊市粮食质量安全监督检测工作提供数据依据，提高粮食品质量合格率。</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szCs w:val="21"/>
              </w:rPr>
            </w:pPr>
            <w:r>
              <w:rPr>
                <w:rFonts w:ascii="Times New Roman" w:hAnsi="Times New Roman" w:eastAsiaTheme="minorEastAsia"/>
                <w:szCs w:val="21"/>
              </w:rPr>
              <w:t>一级指标</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二级指标</w:t>
            </w:r>
          </w:p>
        </w:tc>
        <w:tc>
          <w:tcPr>
            <w:tcW w:w="1228" w:type="dxa"/>
            <w:vAlign w:val="center"/>
          </w:tcPr>
          <w:p>
            <w:pPr>
              <w:pStyle w:val="12"/>
              <w:rPr>
                <w:rFonts w:ascii="Times New Roman" w:hAnsi="Times New Roman" w:eastAsiaTheme="minorEastAsia"/>
                <w:szCs w:val="21"/>
              </w:rPr>
            </w:pPr>
            <w:r>
              <w:rPr>
                <w:rFonts w:ascii="Times New Roman" w:hAnsi="Times New Roman" w:eastAsiaTheme="minorEastAsia"/>
                <w:szCs w:val="21"/>
              </w:rPr>
              <w:t>三级指标</w:t>
            </w:r>
          </w:p>
        </w:tc>
        <w:tc>
          <w:tcPr>
            <w:tcW w:w="2665" w:type="dxa"/>
            <w:vAlign w:val="center"/>
          </w:tcPr>
          <w:p>
            <w:pPr>
              <w:pStyle w:val="12"/>
              <w:rPr>
                <w:rFonts w:ascii="Times New Roman" w:hAnsi="Times New Roman" w:eastAsiaTheme="minorEastAsia"/>
                <w:szCs w:val="21"/>
              </w:rPr>
            </w:pPr>
            <w:r>
              <w:rPr>
                <w:rFonts w:ascii="Times New Roman" w:hAnsi="Times New Roman" w:eastAsiaTheme="minorEastAsia"/>
                <w:szCs w:val="21"/>
              </w:rPr>
              <w:t>绩效指标描述</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w:t>
            </w:r>
          </w:p>
        </w:tc>
        <w:tc>
          <w:tcPr>
            <w:tcW w:w="1698"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szCs w:val="21"/>
              </w:rPr>
            </w:pPr>
            <w:r>
              <w:rPr>
                <w:rFonts w:ascii="Times New Roman" w:hAnsi="Times New Roman" w:eastAsiaTheme="minorEastAsia"/>
                <w:szCs w:val="21"/>
              </w:rPr>
              <w:t>产出指标</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数量指标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粮食检测</w:t>
            </w:r>
          </w:p>
          <w:p>
            <w:pPr>
              <w:pStyle w:val="14"/>
              <w:jc w:val="center"/>
              <w:rPr>
                <w:rFonts w:ascii="Times New Roman" w:hAnsi="Times New Roman" w:eastAsiaTheme="minorEastAsia"/>
                <w:szCs w:val="21"/>
              </w:rPr>
            </w:pPr>
            <w:r>
              <w:rPr>
                <w:rFonts w:ascii="Times New Roman" w:hAnsi="Times New Roman" w:eastAsiaTheme="minorEastAsia"/>
                <w:szCs w:val="21"/>
              </w:rPr>
              <w:t>数量</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检测小麦、玉米总计数量</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350个</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检测报告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质量指标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完成工作</w:t>
            </w:r>
          </w:p>
          <w:p>
            <w:pPr>
              <w:pStyle w:val="14"/>
              <w:jc w:val="center"/>
              <w:rPr>
                <w:rFonts w:ascii="Times New Roman" w:hAnsi="Times New Roman" w:eastAsiaTheme="minorEastAsia"/>
                <w:szCs w:val="21"/>
              </w:rPr>
            </w:pPr>
            <w:r>
              <w:rPr>
                <w:rFonts w:ascii="Times New Roman" w:hAnsi="Times New Roman" w:eastAsiaTheme="minorEastAsia"/>
                <w:szCs w:val="21"/>
              </w:rPr>
              <w:t>任务</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保质保量完成检测工作</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100%</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依据省、市下达检测任务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时效指标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完成及时性</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按省、市下达的工作任务及时完成</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及时</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依据省、市下达检测任务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成本控制额</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检测所需耗材购置费</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≤27.9万元</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成本控制额</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第三方服务编制检验监测体系规范制度和申请CMA资质评定</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≤16万元</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szCs w:val="21"/>
              </w:rPr>
            </w:pPr>
            <w:r>
              <w:rPr>
                <w:rFonts w:ascii="Times New Roman" w:hAnsi="Times New Roman" w:eastAsiaTheme="minorEastAsia"/>
                <w:szCs w:val="21"/>
              </w:rPr>
              <w:t>效益指标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社会效益</w:t>
            </w:r>
          </w:p>
          <w:p>
            <w:pPr>
              <w:pStyle w:val="14"/>
              <w:jc w:val="center"/>
              <w:rPr>
                <w:rFonts w:ascii="Times New Roman" w:hAnsi="Times New Roman" w:eastAsiaTheme="minorEastAsia"/>
                <w:szCs w:val="21"/>
              </w:rPr>
            </w:pPr>
            <w:r>
              <w:rPr>
                <w:rFonts w:ascii="Times New Roman" w:hAnsi="Times New Roman" w:eastAsiaTheme="minorEastAsia"/>
                <w:szCs w:val="21"/>
              </w:rPr>
              <w:t>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预防粮食</w:t>
            </w:r>
          </w:p>
          <w:p>
            <w:pPr>
              <w:pStyle w:val="14"/>
              <w:jc w:val="center"/>
              <w:rPr>
                <w:rFonts w:ascii="Times New Roman" w:hAnsi="Times New Roman" w:eastAsiaTheme="minorEastAsia"/>
                <w:szCs w:val="21"/>
              </w:rPr>
            </w:pPr>
            <w:r>
              <w:rPr>
                <w:rFonts w:ascii="Times New Roman" w:hAnsi="Times New Roman" w:eastAsiaTheme="minorEastAsia"/>
                <w:szCs w:val="21"/>
              </w:rPr>
              <w:t>安全事故</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预防重大粮食安全事故发生</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预防</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szCs w:val="21"/>
              </w:rPr>
            </w:pPr>
            <w:r>
              <w:rPr>
                <w:rFonts w:ascii="Times New Roman" w:hAnsi="Times New Roman" w:eastAsiaTheme="minorEastAsia"/>
                <w:szCs w:val="21"/>
              </w:rPr>
              <w:t>满意度指标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服务对象</w:t>
            </w:r>
          </w:p>
          <w:p>
            <w:pPr>
              <w:pStyle w:val="14"/>
              <w:jc w:val="center"/>
              <w:rPr>
                <w:rFonts w:ascii="Times New Roman" w:hAnsi="Times New Roman" w:eastAsiaTheme="minorEastAsia"/>
                <w:szCs w:val="21"/>
              </w:rPr>
            </w:pPr>
            <w:r>
              <w:rPr>
                <w:rFonts w:ascii="Times New Roman" w:hAnsi="Times New Roman" w:eastAsiaTheme="minorEastAsia"/>
                <w:szCs w:val="21"/>
              </w:rPr>
              <w:t>满意度指标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相关部门的满意度</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相关部门对检测结果的满意度</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≥95%</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18" w:name="_Toc_4_4_0000000024"/>
      <w:r>
        <w:rPr>
          <w:rFonts w:hint="eastAsia" w:eastAsia="黑体" w:cs="方正仿宋_GBK"/>
          <w:color w:val="000000"/>
          <w:sz w:val="32"/>
          <w:szCs w:val="32"/>
          <w:lang w:val="en-US" w:eastAsia="zh-CN"/>
        </w:rPr>
        <w:t>18</w:t>
      </w:r>
      <w:r>
        <w:rPr>
          <w:rFonts w:eastAsia="黑体" w:cs="方正仿宋_GBK"/>
          <w:color w:val="000000"/>
          <w:sz w:val="32"/>
          <w:szCs w:val="32"/>
        </w:rPr>
        <w:t>.廊坊市委、市政府优化营商环境工作专班经费绩效目标表</w:t>
      </w:r>
      <w:bookmarkEnd w:id="18"/>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13100022P00226810001E</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廊坊市委、市政府优化营商环境工作专班经费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主要用于我市按要求设立分会场，组织相关活动，通过搭建“双创”展示平台，为实现创新驱动发展汇聚智慧和力量。</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15%</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30%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50%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1.通过项目的开展实现持续深入优化我市营商环境，营造公平、透明、可预期的营商环境，激发市场活力和社会创造力，切实为市场主体、社会民众提供优质高效服务。</w:t>
            </w:r>
          </w:p>
          <w:p>
            <w:pPr>
              <w:pStyle w:val="14"/>
              <w:rPr>
                <w:rFonts w:ascii="Times New Roman" w:hAnsi="Times New Roman" w:eastAsiaTheme="minorEastAsia"/>
              </w:rPr>
            </w:pPr>
            <w:r>
              <w:rPr>
                <w:rFonts w:ascii="Times New Roman" w:hAnsi="Times New Roman" w:eastAsiaTheme="minorEastAsia"/>
              </w:rPr>
              <w:t>2.通过项目的开展贯彻落实国家、省、市优化营商环境工作的决策部署，聚焦企业和民众办事的痛点、难点、堵点问题，出狠招、实招，对标国内先进城市，深入查摆问题，并出台具体措施和相应工作方案。</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优化营商</w:t>
            </w:r>
          </w:p>
          <w:p>
            <w:pPr>
              <w:pStyle w:val="14"/>
              <w:jc w:val="center"/>
              <w:rPr>
                <w:rFonts w:ascii="Times New Roman" w:hAnsi="Times New Roman" w:eastAsiaTheme="minorEastAsia"/>
              </w:rPr>
            </w:pPr>
            <w:r>
              <w:rPr>
                <w:rFonts w:ascii="Times New Roman" w:hAnsi="Times New Roman" w:eastAsiaTheme="minorEastAsia"/>
              </w:rPr>
              <w:t>环境培训会</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优化营商环境培训会参会人数</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≥120人</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营商环境</w:t>
            </w:r>
          </w:p>
          <w:p>
            <w:pPr>
              <w:pStyle w:val="14"/>
              <w:jc w:val="center"/>
              <w:rPr>
                <w:rFonts w:ascii="Times New Roman" w:hAnsi="Times New Roman" w:eastAsiaTheme="minorEastAsia"/>
              </w:rPr>
            </w:pPr>
            <w:r>
              <w:rPr>
                <w:rFonts w:ascii="Times New Roman" w:hAnsi="Times New Roman" w:eastAsiaTheme="minorEastAsia"/>
              </w:rPr>
              <w:t>考核</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制定考核办法，对市有关部门、开发区、临空经济区进行考核</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召开会议</w:t>
            </w:r>
          </w:p>
          <w:p>
            <w:pPr>
              <w:pStyle w:val="14"/>
              <w:jc w:val="center"/>
              <w:rPr>
                <w:rFonts w:ascii="Times New Roman" w:hAnsi="Times New Roman" w:eastAsiaTheme="minorEastAsia"/>
              </w:rPr>
            </w:pPr>
            <w:r>
              <w:rPr>
                <w:rFonts w:ascii="Times New Roman" w:hAnsi="Times New Roman" w:eastAsiaTheme="minorEastAsia"/>
              </w:rPr>
              <w:t>时间</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按工作计划及时召开会议</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宣传材料</w:t>
            </w:r>
          </w:p>
          <w:p>
            <w:pPr>
              <w:pStyle w:val="14"/>
              <w:jc w:val="center"/>
              <w:rPr>
                <w:rFonts w:ascii="Times New Roman" w:hAnsi="Times New Roman" w:eastAsiaTheme="minorEastAsia"/>
              </w:rPr>
            </w:pPr>
            <w:r>
              <w:rPr>
                <w:rFonts w:ascii="Times New Roman" w:hAnsi="Times New Roman" w:eastAsiaTheme="minorEastAsia"/>
              </w:rPr>
              <w:t>成本控制</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宣传材料控制金额</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提升培训人员工作能力</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通过培训，提升参与人员的工作能力</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提升</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参会人员</w:t>
            </w:r>
          </w:p>
          <w:p>
            <w:pPr>
              <w:pStyle w:val="14"/>
              <w:jc w:val="center"/>
              <w:rPr>
                <w:rFonts w:ascii="Times New Roman" w:hAnsi="Times New Roman" w:eastAsiaTheme="minorEastAsia"/>
              </w:rPr>
            </w:pPr>
            <w:r>
              <w:rPr>
                <w:rFonts w:ascii="Times New Roman" w:hAnsi="Times New Roman" w:eastAsiaTheme="minorEastAsia"/>
              </w:rPr>
              <w:t>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反映参会人员的满意情况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19" w:name="_Toc_4_4_0000000025"/>
      <w:r>
        <w:rPr>
          <w:rFonts w:hint="eastAsia" w:eastAsia="黑体" w:cs="方正仿宋_GBK"/>
          <w:color w:val="000000"/>
          <w:sz w:val="32"/>
          <w:szCs w:val="32"/>
          <w:lang w:val="en-US" w:eastAsia="zh-CN"/>
        </w:rPr>
        <w:t>19</w:t>
      </w:r>
      <w:r>
        <w:rPr>
          <w:rFonts w:eastAsia="黑体" w:cs="方正仿宋_GBK"/>
          <w:color w:val="000000"/>
          <w:sz w:val="32"/>
          <w:szCs w:val="32"/>
        </w:rPr>
        <w:t>.廊坊市政府门户网站运行维护经费及网络安全提升项目经费绩效目标表</w:t>
      </w:r>
      <w:bookmarkEnd w:id="19"/>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13100022P00226210001C</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廊坊市政府门户网站运行维护经费及网络安全提升项目经费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167.00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167.00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主要用于廊坊市人民政府网日常运行维护。</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80%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1.保障廊坊市人民政府网、发改委网、政府信息公开平台、廊坊市人民政府网邮件系统正常运转、网络安全得到基本保障，市直各局网站得到有效监测。</w:t>
            </w:r>
          </w:p>
          <w:p>
            <w:pPr>
              <w:pStyle w:val="14"/>
              <w:rPr>
                <w:rFonts w:ascii="Times New Roman" w:hAnsi="Times New Roman" w:eastAsiaTheme="minorEastAsia"/>
              </w:rPr>
            </w:pPr>
            <w:r>
              <w:rPr>
                <w:rFonts w:ascii="Times New Roman" w:hAnsi="Times New Roman" w:eastAsiaTheme="minorEastAsia"/>
              </w:rPr>
              <w:t>2.保障廊坊市人民政府网、发改委网、政府信息公开平台、廊坊市人民政府网邮件系统安全有效运行，年度内不发生安全事故；市直各局网站得到有效监测。</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签订合同</w:t>
            </w:r>
          </w:p>
          <w:p>
            <w:pPr>
              <w:pStyle w:val="14"/>
              <w:jc w:val="center"/>
              <w:rPr>
                <w:rFonts w:ascii="Times New Roman" w:hAnsi="Times New Roman" w:eastAsiaTheme="minorEastAsia"/>
              </w:rPr>
            </w:pPr>
            <w:r>
              <w:rPr>
                <w:rFonts w:ascii="Times New Roman" w:hAnsi="Times New Roman" w:eastAsiaTheme="minorEastAsia"/>
              </w:rPr>
              <w:t>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签订合同数量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≥2个</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年度运行维护</w:t>
            </w:r>
          </w:p>
          <w:p>
            <w:pPr>
              <w:pStyle w:val="14"/>
              <w:jc w:val="center"/>
              <w:rPr>
                <w:rFonts w:ascii="Times New Roman" w:hAnsi="Times New Roman" w:eastAsiaTheme="minorEastAsia"/>
              </w:rPr>
            </w:pPr>
            <w:r>
              <w:rPr>
                <w:rFonts w:ascii="Times New Roman" w:hAnsi="Times New Roman" w:eastAsiaTheme="minorEastAsia"/>
              </w:rPr>
              <w:t>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合格</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年度运行维护数量是否全部完成且合格</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年度运行维护</w:t>
            </w:r>
          </w:p>
          <w:p>
            <w:pPr>
              <w:pStyle w:val="14"/>
              <w:jc w:val="center"/>
              <w:rPr>
                <w:rFonts w:ascii="Times New Roman" w:hAnsi="Times New Roman" w:eastAsiaTheme="minorEastAsia"/>
              </w:rPr>
            </w:pPr>
            <w:r>
              <w:rPr>
                <w:rFonts w:ascii="Times New Roman" w:hAnsi="Times New Roman" w:eastAsiaTheme="minorEastAsia"/>
              </w:rPr>
              <w:t>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执行效率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年度运行维护数量是否全部按时完成</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年度运行维护</w:t>
            </w:r>
          </w:p>
          <w:p>
            <w:pPr>
              <w:pStyle w:val="14"/>
              <w:jc w:val="center"/>
              <w:rPr>
                <w:rFonts w:ascii="Times New Roman" w:hAnsi="Times New Roman" w:eastAsiaTheme="minorEastAsia"/>
              </w:rPr>
            </w:pPr>
            <w:r>
              <w:rPr>
                <w:rFonts w:ascii="Times New Roman" w:hAnsi="Times New Roman" w:eastAsiaTheme="minorEastAsia"/>
              </w:rPr>
              <w:t>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政府网站</w:t>
            </w:r>
          </w:p>
          <w:p>
            <w:pPr>
              <w:pStyle w:val="14"/>
              <w:jc w:val="center"/>
              <w:rPr>
                <w:rFonts w:hint="eastAsia" w:ascii="Times New Roman" w:hAnsi="Times New Roman" w:eastAsiaTheme="minorEastAsia"/>
                <w:lang w:eastAsia="zh-CN"/>
              </w:rPr>
            </w:pPr>
            <w:r>
              <w:rPr>
                <w:rFonts w:ascii="Times New Roman" w:hAnsi="Times New Roman" w:eastAsiaTheme="minorEastAsia"/>
              </w:rPr>
              <w:t>系统网络</w:t>
            </w:r>
          </w:p>
          <w:p>
            <w:pPr>
              <w:pStyle w:val="14"/>
              <w:jc w:val="center"/>
              <w:rPr>
                <w:rFonts w:ascii="Times New Roman" w:hAnsi="Times New Roman" w:eastAsiaTheme="minorEastAsia"/>
              </w:rPr>
            </w:pPr>
            <w:r>
              <w:rPr>
                <w:rFonts w:ascii="Times New Roman" w:hAnsi="Times New Roman" w:eastAsiaTheme="minorEastAsia"/>
              </w:rPr>
              <w:t>通讯费成本控制额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成本费用支出控制在年度预算范围内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≤24.77万元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网站运行</w:t>
            </w:r>
          </w:p>
          <w:p>
            <w:pPr>
              <w:pStyle w:val="14"/>
              <w:jc w:val="center"/>
              <w:rPr>
                <w:rFonts w:ascii="Times New Roman" w:hAnsi="Times New Roman" w:eastAsiaTheme="minorEastAsia"/>
              </w:rPr>
            </w:pPr>
            <w:r>
              <w:rPr>
                <w:rFonts w:ascii="Times New Roman" w:hAnsi="Times New Roman" w:eastAsiaTheme="minorEastAsia"/>
              </w:rPr>
              <w:t>维护费成本控制额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成本费用支出控制在年度预算范围内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≤36.8万元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安全运行</w:t>
            </w:r>
          </w:p>
          <w:p>
            <w:pPr>
              <w:pStyle w:val="14"/>
              <w:jc w:val="center"/>
              <w:rPr>
                <w:rFonts w:ascii="Times New Roman" w:hAnsi="Times New Roman" w:eastAsiaTheme="minorEastAsia"/>
              </w:rPr>
            </w:pPr>
            <w:r>
              <w:rPr>
                <w:rFonts w:ascii="Times New Roman" w:hAnsi="Times New Roman" w:eastAsiaTheme="minorEastAsia"/>
              </w:rPr>
              <w:t>保障服务费成本控制额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成本费用支出控制在年度预算范围内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≤68.43万元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网站安全</w:t>
            </w:r>
          </w:p>
          <w:p>
            <w:pPr>
              <w:pStyle w:val="14"/>
              <w:jc w:val="center"/>
              <w:rPr>
                <w:rFonts w:ascii="Times New Roman" w:hAnsi="Times New Roman" w:eastAsiaTheme="minorEastAsia"/>
              </w:rPr>
            </w:pPr>
            <w:r>
              <w:rPr>
                <w:rFonts w:ascii="Times New Roman" w:hAnsi="Times New Roman" w:eastAsiaTheme="minorEastAsia"/>
              </w:rPr>
              <w:t>提升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成本费用支出控制在年度预算范围内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≤37万元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保障廊坊市人民政府网安全有效</w:t>
            </w:r>
          </w:p>
          <w:p>
            <w:pPr>
              <w:pStyle w:val="14"/>
              <w:jc w:val="center"/>
              <w:rPr>
                <w:rFonts w:ascii="Times New Roman" w:hAnsi="Times New Roman" w:eastAsiaTheme="minorEastAsia"/>
              </w:rPr>
            </w:pPr>
            <w:r>
              <w:rPr>
                <w:rFonts w:ascii="Times New Roman" w:hAnsi="Times New Roman" w:eastAsiaTheme="minorEastAsia"/>
              </w:rPr>
              <w:t>运行</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保障廊坊市人民政府网安全有效运行</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保障</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保障廊坊市人民政府网全年安全有效运行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可持续影响指标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网站安全持续有效运行</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网站安全持续有效运行</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持续</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保障廊坊市人民政府网全年安全有效运行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服务对象满意度指标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公众满意度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公众对廊坊市政府门户网站的满意度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≥95%</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0" w:name="_Toc_4_4_0000000026"/>
      <w:r>
        <w:rPr>
          <w:rFonts w:eastAsia="黑体" w:cs="方正仿宋_GBK"/>
          <w:color w:val="000000"/>
          <w:sz w:val="32"/>
          <w:szCs w:val="32"/>
        </w:rPr>
        <w:t>2</w:t>
      </w:r>
      <w:r>
        <w:rPr>
          <w:rFonts w:hint="eastAsia" w:eastAsia="黑体" w:cs="方正仿宋_GBK"/>
          <w:color w:val="000000"/>
          <w:sz w:val="32"/>
          <w:szCs w:val="32"/>
          <w:lang w:val="en-US" w:eastAsia="zh-CN"/>
        </w:rPr>
        <w:t>0</w:t>
      </w:r>
      <w:r>
        <w:rPr>
          <w:rFonts w:eastAsia="黑体" w:cs="方正仿宋_GBK"/>
          <w:color w:val="000000"/>
          <w:sz w:val="32"/>
          <w:szCs w:val="32"/>
        </w:rPr>
        <w:t>.廊坊市重点项目专项资金绩效目标表</w:t>
      </w:r>
      <w:bookmarkEnd w:id="20"/>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13100022P00228810001W</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廊坊市重点项目专项资金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730.00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730.00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主要用于拨付相关县市区和廊坊开发区重点项目专项资金以及本市组织统筹工作活动支出。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1.通过重点项目专项资金的拨付保障，确保全市项目建设平稳较快推进，省市重点项目、投资亿元以上项目按照计划节点顺利实施。</w:t>
            </w:r>
          </w:p>
          <w:p>
            <w:pPr>
              <w:pStyle w:val="14"/>
              <w:rPr>
                <w:rFonts w:ascii="Times New Roman" w:hAnsi="Times New Roman" w:eastAsiaTheme="minorEastAsia"/>
              </w:rPr>
            </w:pPr>
            <w:r>
              <w:rPr>
                <w:rFonts w:ascii="Times New Roman" w:hAnsi="Times New Roman" w:eastAsiaTheme="minorEastAsia"/>
              </w:rPr>
              <w:t>2.通过项目的开展完成保障全市项目建设顺利推进，调动全市上下上项目、增投入、求发展的积极性，推动全市经济平稳较快发展。</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szCs w:val="21"/>
              </w:rPr>
            </w:pPr>
            <w:r>
              <w:rPr>
                <w:rFonts w:ascii="Times New Roman" w:hAnsi="Times New Roman" w:eastAsiaTheme="minorEastAsia"/>
                <w:szCs w:val="21"/>
              </w:rPr>
              <w:t>一级指标</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二级指标</w:t>
            </w:r>
          </w:p>
        </w:tc>
        <w:tc>
          <w:tcPr>
            <w:tcW w:w="1228" w:type="dxa"/>
            <w:vAlign w:val="center"/>
          </w:tcPr>
          <w:p>
            <w:pPr>
              <w:pStyle w:val="12"/>
              <w:rPr>
                <w:rFonts w:ascii="Times New Roman" w:hAnsi="Times New Roman" w:eastAsiaTheme="minorEastAsia"/>
                <w:szCs w:val="21"/>
              </w:rPr>
            </w:pPr>
            <w:r>
              <w:rPr>
                <w:rFonts w:ascii="Times New Roman" w:hAnsi="Times New Roman" w:eastAsiaTheme="minorEastAsia"/>
                <w:szCs w:val="21"/>
              </w:rPr>
              <w:t>三级指标</w:t>
            </w:r>
          </w:p>
        </w:tc>
        <w:tc>
          <w:tcPr>
            <w:tcW w:w="2665" w:type="dxa"/>
            <w:vAlign w:val="center"/>
          </w:tcPr>
          <w:p>
            <w:pPr>
              <w:pStyle w:val="12"/>
              <w:rPr>
                <w:rFonts w:ascii="Times New Roman" w:hAnsi="Times New Roman" w:eastAsiaTheme="minorEastAsia"/>
                <w:szCs w:val="21"/>
              </w:rPr>
            </w:pPr>
            <w:r>
              <w:rPr>
                <w:rFonts w:ascii="Times New Roman" w:hAnsi="Times New Roman" w:eastAsiaTheme="minorEastAsia"/>
                <w:szCs w:val="21"/>
              </w:rPr>
              <w:t>绩效指标描述</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w:t>
            </w:r>
          </w:p>
        </w:tc>
        <w:tc>
          <w:tcPr>
            <w:tcW w:w="1698"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szCs w:val="21"/>
              </w:rPr>
            </w:pPr>
            <w:r>
              <w:rPr>
                <w:rFonts w:ascii="Times New Roman" w:hAnsi="Times New Roman" w:eastAsiaTheme="minorEastAsia"/>
                <w:szCs w:val="21"/>
              </w:rPr>
              <w:t>产出指标</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数量指标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督导、调度省市重点</w:t>
            </w:r>
          </w:p>
          <w:p>
            <w:pPr>
              <w:pStyle w:val="14"/>
              <w:jc w:val="center"/>
              <w:rPr>
                <w:rFonts w:ascii="Times New Roman" w:hAnsi="Times New Roman" w:eastAsiaTheme="minorEastAsia"/>
                <w:szCs w:val="21"/>
              </w:rPr>
            </w:pPr>
            <w:r>
              <w:rPr>
                <w:rFonts w:ascii="Times New Roman" w:hAnsi="Times New Roman" w:eastAsiaTheme="minorEastAsia"/>
                <w:szCs w:val="21"/>
              </w:rPr>
              <w:t>项目投资完成率</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督导、调度省市重点项目投资完成率</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≥90%</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数量指标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督导、调度省市重点</w:t>
            </w:r>
          </w:p>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项目投资</w:t>
            </w:r>
          </w:p>
          <w:p>
            <w:pPr>
              <w:pStyle w:val="14"/>
              <w:jc w:val="center"/>
              <w:rPr>
                <w:rFonts w:ascii="Times New Roman" w:hAnsi="Times New Roman" w:eastAsiaTheme="minorEastAsia"/>
                <w:szCs w:val="21"/>
              </w:rPr>
            </w:pPr>
            <w:r>
              <w:rPr>
                <w:rFonts w:ascii="Times New Roman" w:hAnsi="Times New Roman" w:eastAsiaTheme="minorEastAsia"/>
                <w:szCs w:val="21"/>
              </w:rPr>
              <w:t>开工率</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督导、调度省市重点项目投资开工率</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100%</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质量指标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下发资金</w:t>
            </w:r>
          </w:p>
          <w:p>
            <w:pPr>
              <w:pStyle w:val="14"/>
              <w:jc w:val="center"/>
              <w:rPr>
                <w:rFonts w:ascii="Times New Roman" w:hAnsi="Times New Roman" w:eastAsiaTheme="minorEastAsia"/>
                <w:szCs w:val="21"/>
              </w:rPr>
            </w:pPr>
            <w:r>
              <w:rPr>
                <w:rFonts w:ascii="Times New Roman" w:hAnsi="Times New Roman" w:eastAsiaTheme="minorEastAsia"/>
                <w:szCs w:val="21"/>
              </w:rPr>
              <w:t>准确率</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考核下发到各县的资金</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100%</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时效指标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资金拨付</w:t>
            </w:r>
          </w:p>
          <w:p>
            <w:pPr>
              <w:pStyle w:val="14"/>
              <w:jc w:val="center"/>
              <w:rPr>
                <w:rFonts w:ascii="Times New Roman" w:hAnsi="Times New Roman" w:eastAsiaTheme="minorEastAsia"/>
                <w:szCs w:val="21"/>
              </w:rPr>
            </w:pPr>
            <w:r>
              <w:rPr>
                <w:rFonts w:ascii="Times New Roman" w:hAnsi="Times New Roman" w:eastAsiaTheme="minorEastAsia"/>
                <w:szCs w:val="21"/>
              </w:rPr>
              <w:t>时间</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考核预算资金拨付的及时性</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≤12月</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拨付相关县市区和廊坊开发区重点项目专项</w:t>
            </w:r>
          </w:p>
          <w:p>
            <w:pPr>
              <w:pStyle w:val="14"/>
              <w:jc w:val="center"/>
              <w:rPr>
                <w:rFonts w:ascii="Times New Roman" w:hAnsi="Times New Roman" w:eastAsiaTheme="minorEastAsia"/>
                <w:szCs w:val="21"/>
              </w:rPr>
            </w:pPr>
            <w:r>
              <w:rPr>
                <w:rFonts w:ascii="Times New Roman" w:hAnsi="Times New Roman" w:eastAsiaTheme="minorEastAsia"/>
                <w:szCs w:val="21"/>
              </w:rPr>
              <w:t>资金金额</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拨付相关县市区和廊坊开发区重点项目专项资金金额</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≤640万元</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拨付申请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szCs w:val="21"/>
              </w:rPr>
            </w:pPr>
            <w:r>
              <w:rPr>
                <w:rFonts w:ascii="Times New Roman" w:hAnsi="Times New Roman" w:eastAsiaTheme="minorEastAsia"/>
                <w:szCs w:val="21"/>
              </w:rPr>
              <w:t>效益指标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社会效益</w:t>
            </w:r>
          </w:p>
          <w:p>
            <w:pPr>
              <w:pStyle w:val="14"/>
              <w:jc w:val="center"/>
              <w:rPr>
                <w:rFonts w:ascii="Times New Roman" w:hAnsi="Times New Roman" w:eastAsiaTheme="minorEastAsia"/>
                <w:szCs w:val="21"/>
              </w:rPr>
            </w:pPr>
            <w:r>
              <w:rPr>
                <w:rFonts w:ascii="Times New Roman" w:hAnsi="Times New Roman" w:eastAsiaTheme="minorEastAsia"/>
                <w:szCs w:val="21"/>
              </w:rPr>
              <w:t>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推进政府</w:t>
            </w:r>
          </w:p>
          <w:p>
            <w:pPr>
              <w:pStyle w:val="14"/>
              <w:jc w:val="center"/>
              <w:rPr>
                <w:rFonts w:ascii="Times New Roman" w:hAnsi="Times New Roman" w:eastAsiaTheme="minorEastAsia"/>
                <w:szCs w:val="21"/>
              </w:rPr>
            </w:pPr>
            <w:r>
              <w:rPr>
                <w:rFonts w:ascii="Times New Roman" w:hAnsi="Times New Roman" w:eastAsiaTheme="minorEastAsia"/>
                <w:szCs w:val="21"/>
              </w:rPr>
              <w:t>投资及重大项目建设</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通过重大建设项目的专项规划，对全市重点投资项目的完成起到作用。</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推进</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szCs w:val="21"/>
              </w:rPr>
            </w:pPr>
            <w:r>
              <w:rPr>
                <w:rFonts w:ascii="Times New Roman" w:hAnsi="Times New Roman" w:eastAsiaTheme="minorEastAsia"/>
                <w:szCs w:val="21"/>
              </w:rPr>
              <w:t>满意度指标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服务对象</w:t>
            </w:r>
          </w:p>
          <w:p>
            <w:pPr>
              <w:pStyle w:val="14"/>
              <w:jc w:val="center"/>
              <w:rPr>
                <w:rFonts w:ascii="Times New Roman" w:hAnsi="Times New Roman" w:eastAsiaTheme="minorEastAsia"/>
                <w:szCs w:val="21"/>
              </w:rPr>
            </w:pPr>
            <w:r>
              <w:rPr>
                <w:rFonts w:ascii="Times New Roman" w:hAnsi="Times New Roman" w:eastAsiaTheme="minorEastAsia"/>
                <w:szCs w:val="21"/>
              </w:rPr>
              <w:t>满意度指标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各区县</w:t>
            </w:r>
          </w:p>
          <w:p>
            <w:pPr>
              <w:pStyle w:val="14"/>
              <w:jc w:val="center"/>
              <w:rPr>
                <w:rFonts w:ascii="Times New Roman" w:hAnsi="Times New Roman" w:eastAsiaTheme="minorEastAsia"/>
                <w:szCs w:val="21"/>
              </w:rPr>
            </w:pPr>
            <w:r>
              <w:rPr>
                <w:rFonts w:ascii="Times New Roman" w:hAnsi="Times New Roman" w:eastAsiaTheme="minorEastAsia"/>
                <w:szCs w:val="21"/>
              </w:rPr>
              <w:t>满意度</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拨付区县满意度情况</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≥95%</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1" w:name="_Toc_4_4_0000000027"/>
      <w:r>
        <w:rPr>
          <w:rFonts w:eastAsia="黑体" w:cs="方正仿宋_GBK"/>
          <w:color w:val="000000"/>
          <w:sz w:val="32"/>
          <w:szCs w:val="32"/>
        </w:rPr>
        <w:t>2</w:t>
      </w:r>
      <w:r>
        <w:rPr>
          <w:rFonts w:hint="eastAsia" w:eastAsia="黑体" w:cs="方正仿宋_GBK"/>
          <w:color w:val="000000"/>
          <w:sz w:val="32"/>
          <w:szCs w:val="32"/>
          <w:lang w:val="en-US" w:eastAsia="zh-CN"/>
        </w:rPr>
        <w:t>1</w:t>
      </w:r>
      <w:r>
        <w:rPr>
          <w:rFonts w:eastAsia="黑体" w:cs="方正仿宋_GBK"/>
          <w:color w:val="000000"/>
          <w:sz w:val="32"/>
          <w:szCs w:val="32"/>
        </w:rPr>
        <w:t>.粮食应急保障经费绩效目标表</w:t>
      </w:r>
      <w:bookmarkEnd w:id="21"/>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13100022P00265410001F</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粮食应急保障经费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5.00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5.00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预算资金5万元，其中财政资金5万元，主要用于加强我市粮食应急供应体系建设，提高应急保障能力 ，实现我市粮食应急保障能力提升和粮食质量安全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10%</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1.通过项目的开展实现廊坊市粮食应急保障体系建设完善，保障我市粮食应急保障能力提升</w:t>
            </w:r>
          </w:p>
          <w:p>
            <w:pPr>
              <w:pStyle w:val="14"/>
              <w:rPr>
                <w:rFonts w:ascii="Times New Roman" w:hAnsi="Times New Roman" w:eastAsiaTheme="minorEastAsia"/>
              </w:rPr>
            </w:pPr>
            <w:r>
              <w:rPr>
                <w:rFonts w:ascii="Times New Roman" w:hAnsi="Times New Roman" w:eastAsiaTheme="minorEastAsia"/>
              </w:rPr>
              <w:t>2.通过项目的开展用于应急物资、食品储备和支持应急保障企业，加强对应急加工、供应和储运设施的建设维护，应急培训演练等提升应急能力方面工作，实现我市粮食应急保障能力提升和粮食质量安全。</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应急培训或演练次数</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组织进行应急培训、演练或支持应急企业</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应急储备</w:t>
            </w:r>
          </w:p>
          <w:p>
            <w:pPr>
              <w:pStyle w:val="14"/>
              <w:jc w:val="center"/>
              <w:rPr>
                <w:rFonts w:hint="eastAsia" w:ascii="Times New Roman" w:hAnsi="Times New Roman" w:eastAsiaTheme="minorEastAsia"/>
                <w:lang w:eastAsia="zh-CN"/>
              </w:rPr>
            </w:pPr>
            <w:r>
              <w:rPr>
                <w:rFonts w:ascii="Times New Roman" w:hAnsi="Times New Roman" w:eastAsiaTheme="minorEastAsia"/>
              </w:rPr>
              <w:t>物资粮食</w:t>
            </w:r>
          </w:p>
          <w:p>
            <w:pPr>
              <w:pStyle w:val="14"/>
              <w:jc w:val="center"/>
              <w:rPr>
                <w:rFonts w:ascii="Times New Roman" w:hAnsi="Times New Roman" w:eastAsiaTheme="minorEastAsia"/>
              </w:rPr>
            </w:pPr>
            <w:r>
              <w:rPr>
                <w:rFonts w:ascii="Times New Roman" w:hAnsi="Times New Roman" w:eastAsiaTheme="minorEastAsia"/>
              </w:rPr>
              <w:t>合格率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应急储备物资粮食合格情况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合格</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实际验收情况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及时完成</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及时按照文件要求完成工作任务</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实际工作进展和验收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应急物资食品储备、支持应急保障企业、组织应急演练成本控制额</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≤5万元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应急保障能力提升率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应急保障能力提升情况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提升</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实际工作进展和验收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部门满意度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相关部门、企业的满意度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2" w:name="_Toc_4_4_0000000028"/>
      <w:r>
        <w:rPr>
          <w:rFonts w:eastAsia="黑体" w:cs="方正仿宋_GBK"/>
          <w:color w:val="000000"/>
          <w:sz w:val="32"/>
          <w:szCs w:val="32"/>
        </w:rPr>
        <w:t>2</w:t>
      </w:r>
      <w:r>
        <w:rPr>
          <w:rFonts w:hint="eastAsia" w:eastAsia="黑体" w:cs="方正仿宋_GBK"/>
          <w:color w:val="000000"/>
          <w:sz w:val="32"/>
          <w:szCs w:val="32"/>
          <w:lang w:val="en-US" w:eastAsia="zh-CN"/>
        </w:rPr>
        <w:t>2</w:t>
      </w:r>
      <w:r>
        <w:rPr>
          <w:rFonts w:eastAsia="黑体" w:cs="方正仿宋_GBK"/>
          <w:color w:val="000000"/>
          <w:sz w:val="32"/>
          <w:szCs w:val="32"/>
        </w:rPr>
        <w:t>.十四五规划项目尾款绩效目标表</w:t>
      </w:r>
      <w:bookmarkEnd w:id="22"/>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rPr>
                <w:rFonts w:ascii="Times New Roman" w:hAnsi="Times New Roman" w:eastAsiaTheme="minorEastAsia"/>
              </w:rPr>
            </w:pPr>
            <w:r>
              <w:rPr>
                <w:rFonts w:ascii="Times New Roman" w:hAnsi="Times New Roman" w:eastAsiaTheme="minorEastAsia"/>
              </w:rPr>
              <w:t>13100022P00267210001J</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rPr>
                <w:rFonts w:ascii="Times New Roman" w:hAnsi="Times New Roman" w:eastAsiaTheme="minorEastAsia"/>
              </w:rPr>
            </w:pPr>
            <w:r>
              <w:rPr>
                <w:rFonts w:ascii="Times New Roman" w:hAnsi="Times New Roman" w:eastAsiaTheme="minorEastAsia"/>
              </w:rPr>
              <w:t>十四五规划项目尾款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132.68</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132.68</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主要用于支付“十四五”发展规划经费后期尾款。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1.通过项目的开展完成全市“十四五”发展思路研究规划编制，加快我市产业结构调整，推进产业体系升级。</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both"/>
              <w:rPr>
                <w:rFonts w:ascii="Times New Roman" w:hAnsi="Times New Roman" w:eastAsiaTheme="minorEastAsia"/>
              </w:rPr>
            </w:pPr>
            <w:r>
              <w:rPr>
                <w:rFonts w:ascii="Times New Roman" w:hAnsi="Times New Roman" w:eastAsiaTheme="minorEastAsia"/>
              </w:rPr>
              <w:t>规划编制尾款数量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规划编制尾款合同数量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4个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both"/>
              <w:rPr>
                <w:rFonts w:ascii="Times New Roman" w:hAnsi="Times New Roman" w:eastAsiaTheme="minorEastAsia"/>
              </w:rPr>
            </w:pPr>
            <w:r>
              <w:rPr>
                <w:rFonts w:ascii="Times New Roman" w:hAnsi="Times New Roman" w:eastAsiaTheme="minorEastAsia"/>
              </w:rPr>
              <w:t>通过人大会议</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经审议通过，面向社会公开</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廊坊政府网站发布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both"/>
              <w:rPr>
                <w:rFonts w:ascii="Times New Roman" w:hAnsi="Times New Roman" w:eastAsiaTheme="minorEastAsia"/>
              </w:rPr>
            </w:pPr>
            <w:r>
              <w:rPr>
                <w:rFonts w:ascii="Times New Roman" w:hAnsi="Times New Roman" w:eastAsiaTheme="minorEastAsia"/>
              </w:rPr>
              <w:t>规划编制及时性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规定的时间节点编制完成时间</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both"/>
              <w:rPr>
                <w:rFonts w:ascii="Times New Roman" w:hAnsi="Times New Roman" w:eastAsiaTheme="minorEastAsia"/>
              </w:rPr>
            </w:pPr>
            <w:r>
              <w:rPr>
                <w:rFonts w:ascii="Times New Roman" w:hAnsi="Times New Roman" w:eastAsiaTheme="minorEastAsia"/>
              </w:rPr>
              <w:t>成本控制额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按合同约定支付规划编制尾款</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约定</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both"/>
              <w:rPr>
                <w:rFonts w:ascii="Times New Roman" w:hAnsi="Times New Roman" w:eastAsiaTheme="minorEastAsia"/>
              </w:rPr>
            </w:pPr>
            <w:r>
              <w:rPr>
                <w:rFonts w:ascii="Times New Roman" w:hAnsi="Times New Roman" w:eastAsiaTheme="minorEastAsia"/>
              </w:rPr>
              <w:t>对全面建设经济强市意义重大。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对全面建设经济强市、意义重大。</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全面推动高质量第一个五年规划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both"/>
              <w:rPr>
                <w:rFonts w:ascii="Times New Roman" w:hAnsi="Times New Roman" w:eastAsiaTheme="minorEastAsia"/>
              </w:rPr>
            </w:pPr>
            <w:r>
              <w:rPr>
                <w:rFonts w:ascii="Times New Roman" w:hAnsi="Times New Roman" w:eastAsiaTheme="minorEastAsia"/>
              </w:rPr>
              <w:t>相关部门对该文本的满意度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相关部门对该文本的满意度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3" w:name="_Toc_4_4_0000000029"/>
      <w:r>
        <w:rPr>
          <w:rFonts w:eastAsia="黑体" w:cs="方正仿宋_GBK"/>
          <w:color w:val="000000"/>
          <w:sz w:val="32"/>
          <w:szCs w:val="32"/>
        </w:rPr>
        <w:t>2</w:t>
      </w:r>
      <w:r>
        <w:rPr>
          <w:rFonts w:hint="eastAsia" w:eastAsia="黑体" w:cs="方正仿宋_GBK"/>
          <w:color w:val="000000"/>
          <w:sz w:val="32"/>
          <w:szCs w:val="32"/>
          <w:lang w:val="en-US" w:eastAsia="zh-CN"/>
        </w:rPr>
        <w:t>3</w:t>
      </w:r>
      <w:r>
        <w:rPr>
          <w:rFonts w:eastAsia="黑体" w:cs="方正仿宋_GBK"/>
          <w:color w:val="000000"/>
          <w:sz w:val="32"/>
          <w:szCs w:val="32"/>
        </w:rPr>
        <w:t>.市级企业技术中心评审经费绩效目标表</w:t>
      </w:r>
      <w:bookmarkEnd w:id="23"/>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13100022P00265710001G</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市级企业技术中心评审经费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8.00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8.00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主要用于市级企业技术中心认定计划任务，保障认定工作的顺利完成。</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1.通过项目的开展实现年度市级企业技术中心认定计划任务，保障认定工作的顺利完成。</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szCs w:val="21"/>
              </w:rPr>
            </w:pPr>
            <w:r>
              <w:rPr>
                <w:rFonts w:ascii="Times New Roman" w:hAnsi="Times New Roman" w:eastAsiaTheme="minorEastAsia"/>
                <w:szCs w:val="21"/>
              </w:rPr>
              <w:t>一级指标</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二级指标</w:t>
            </w:r>
          </w:p>
        </w:tc>
        <w:tc>
          <w:tcPr>
            <w:tcW w:w="1228" w:type="dxa"/>
            <w:vAlign w:val="center"/>
          </w:tcPr>
          <w:p>
            <w:pPr>
              <w:pStyle w:val="12"/>
              <w:rPr>
                <w:rFonts w:ascii="Times New Roman" w:hAnsi="Times New Roman" w:eastAsiaTheme="minorEastAsia"/>
                <w:szCs w:val="21"/>
              </w:rPr>
            </w:pPr>
            <w:r>
              <w:rPr>
                <w:rFonts w:ascii="Times New Roman" w:hAnsi="Times New Roman" w:eastAsiaTheme="minorEastAsia"/>
                <w:szCs w:val="21"/>
              </w:rPr>
              <w:t>三级指标</w:t>
            </w:r>
          </w:p>
        </w:tc>
        <w:tc>
          <w:tcPr>
            <w:tcW w:w="2665" w:type="dxa"/>
            <w:vAlign w:val="center"/>
          </w:tcPr>
          <w:p>
            <w:pPr>
              <w:pStyle w:val="12"/>
              <w:rPr>
                <w:rFonts w:ascii="Times New Roman" w:hAnsi="Times New Roman" w:eastAsiaTheme="minorEastAsia"/>
                <w:szCs w:val="21"/>
              </w:rPr>
            </w:pPr>
            <w:r>
              <w:rPr>
                <w:rFonts w:ascii="Times New Roman" w:hAnsi="Times New Roman" w:eastAsiaTheme="minorEastAsia"/>
                <w:szCs w:val="21"/>
              </w:rPr>
              <w:t>绩效指标描述</w:t>
            </w:r>
          </w:p>
        </w:tc>
        <w:tc>
          <w:tcPr>
            <w:tcW w:w="1176"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w:t>
            </w:r>
          </w:p>
        </w:tc>
        <w:tc>
          <w:tcPr>
            <w:tcW w:w="1698" w:type="dxa"/>
            <w:vAlign w:val="center"/>
          </w:tcPr>
          <w:p>
            <w:pPr>
              <w:pStyle w:val="12"/>
              <w:rPr>
                <w:rFonts w:ascii="Times New Roman" w:hAnsi="Times New Roman" w:eastAsiaTheme="minorEastAsia"/>
                <w:szCs w:val="21"/>
              </w:rPr>
            </w:pPr>
            <w:r>
              <w:rPr>
                <w:rFonts w:ascii="Times New Roman" w:hAnsi="Times New Roman" w:eastAsiaTheme="minorEastAsia"/>
                <w:szCs w:val="21"/>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szCs w:val="21"/>
              </w:rPr>
            </w:pPr>
            <w:r>
              <w:rPr>
                <w:rFonts w:ascii="Times New Roman" w:hAnsi="Times New Roman" w:eastAsiaTheme="minorEastAsia"/>
                <w:szCs w:val="21"/>
              </w:rPr>
              <w:t>产出指标</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数量指标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评审个数</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市级企业技术中心评审个数</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≥1个</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认定名单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质量指标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符合认定</w:t>
            </w:r>
          </w:p>
          <w:p>
            <w:pPr>
              <w:pStyle w:val="14"/>
              <w:jc w:val="center"/>
              <w:rPr>
                <w:rFonts w:ascii="Times New Roman" w:hAnsi="Times New Roman" w:eastAsiaTheme="minorEastAsia"/>
                <w:szCs w:val="21"/>
              </w:rPr>
            </w:pPr>
            <w:r>
              <w:rPr>
                <w:rFonts w:ascii="Times New Roman" w:hAnsi="Times New Roman" w:eastAsiaTheme="minorEastAsia"/>
                <w:szCs w:val="21"/>
              </w:rPr>
              <w:t>条件</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符合认定条件</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100%</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认定名单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时效指标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及时性</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按合同及时拨付经费</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及时</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拨付凭证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成本指标</w:t>
            </w:r>
          </w:p>
        </w:tc>
        <w:tc>
          <w:tcPr>
            <w:tcW w:w="122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成本控制额</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评审经费支出额</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≤8万元</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szCs w:val="21"/>
              </w:rPr>
            </w:pPr>
            <w:r>
              <w:rPr>
                <w:rFonts w:ascii="Times New Roman" w:hAnsi="Times New Roman" w:eastAsiaTheme="minorEastAsia"/>
                <w:szCs w:val="21"/>
              </w:rPr>
              <w:t>效益指标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社会效益</w:t>
            </w:r>
          </w:p>
          <w:p>
            <w:pPr>
              <w:pStyle w:val="14"/>
              <w:jc w:val="center"/>
              <w:rPr>
                <w:rFonts w:ascii="Times New Roman" w:hAnsi="Times New Roman" w:eastAsiaTheme="minorEastAsia"/>
                <w:szCs w:val="21"/>
              </w:rPr>
            </w:pPr>
            <w:r>
              <w:rPr>
                <w:rFonts w:ascii="Times New Roman" w:hAnsi="Times New Roman" w:eastAsiaTheme="minorEastAsia"/>
                <w:szCs w:val="21"/>
              </w:rPr>
              <w:t>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企业创新</w:t>
            </w:r>
          </w:p>
          <w:p>
            <w:pPr>
              <w:pStyle w:val="14"/>
              <w:jc w:val="center"/>
              <w:rPr>
                <w:rFonts w:ascii="Times New Roman" w:hAnsi="Times New Roman" w:eastAsiaTheme="minorEastAsia"/>
                <w:szCs w:val="21"/>
              </w:rPr>
            </w:pPr>
            <w:r>
              <w:rPr>
                <w:rFonts w:ascii="Times New Roman" w:hAnsi="Times New Roman" w:eastAsiaTheme="minorEastAsia"/>
                <w:szCs w:val="21"/>
              </w:rPr>
              <w:t>能力建设</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促进企业技术创新能力建设</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促进</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促进企业创新能力建设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sz w:val="21"/>
                <w:szCs w:val="21"/>
              </w:rPr>
            </w:pP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可持续影响指标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评审制度</w:t>
            </w:r>
          </w:p>
          <w:p>
            <w:pPr>
              <w:pStyle w:val="14"/>
              <w:jc w:val="center"/>
              <w:rPr>
                <w:rFonts w:ascii="Times New Roman" w:hAnsi="Times New Roman" w:eastAsiaTheme="minorEastAsia"/>
                <w:szCs w:val="21"/>
              </w:rPr>
            </w:pPr>
            <w:r>
              <w:rPr>
                <w:rFonts w:ascii="Times New Roman" w:hAnsi="Times New Roman" w:eastAsiaTheme="minorEastAsia"/>
                <w:szCs w:val="21"/>
              </w:rPr>
              <w:t>完善度</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管理办法完善</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完善</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评审制度完善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szCs w:val="21"/>
              </w:rPr>
            </w:pPr>
            <w:r>
              <w:rPr>
                <w:rFonts w:ascii="Times New Roman" w:hAnsi="Times New Roman" w:eastAsiaTheme="minorEastAsia"/>
                <w:szCs w:val="21"/>
              </w:rPr>
              <w:t>满意度指标</w:t>
            </w:r>
          </w:p>
        </w:tc>
        <w:tc>
          <w:tcPr>
            <w:tcW w:w="1176"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服务对象</w:t>
            </w:r>
          </w:p>
          <w:p>
            <w:pPr>
              <w:pStyle w:val="14"/>
              <w:jc w:val="center"/>
              <w:rPr>
                <w:rFonts w:ascii="Times New Roman" w:hAnsi="Times New Roman" w:eastAsiaTheme="minorEastAsia"/>
                <w:szCs w:val="21"/>
              </w:rPr>
            </w:pPr>
            <w:r>
              <w:rPr>
                <w:rFonts w:ascii="Times New Roman" w:hAnsi="Times New Roman" w:eastAsiaTheme="minorEastAsia"/>
                <w:szCs w:val="21"/>
              </w:rPr>
              <w:t>满意度指标</w:t>
            </w:r>
          </w:p>
        </w:tc>
        <w:tc>
          <w:tcPr>
            <w:tcW w:w="1228" w:type="dxa"/>
            <w:vAlign w:val="center"/>
          </w:tcPr>
          <w:p>
            <w:pPr>
              <w:pStyle w:val="14"/>
              <w:jc w:val="center"/>
              <w:rPr>
                <w:rFonts w:hint="eastAsia" w:ascii="Times New Roman" w:hAnsi="Times New Roman" w:eastAsiaTheme="minorEastAsia"/>
                <w:szCs w:val="21"/>
                <w:lang w:eastAsia="zh-CN"/>
              </w:rPr>
            </w:pPr>
            <w:r>
              <w:rPr>
                <w:rFonts w:ascii="Times New Roman" w:hAnsi="Times New Roman" w:eastAsiaTheme="minorEastAsia"/>
                <w:szCs w:val="21"/>
              </w:rPr>
              <w:t>认定工作</w:t>
            </w:r>
          </w:p>
          <w:p>
            <w:pPr>
              <w:pStyle w:val="14"/>
              <w:jc w:val="center"/>
              <w:rPr>
                <w:rFonts w:ascii="Times New Roman" w:hAnsi="Times New Roman" w:eastAsiaTheme="minorEastAsia"/>
                <w:szCs w:val="21"/>
              </w:rPr>
            </w:pPr>
            <w:r>
              <w:rPr>
                <w:rFonts w:ascii="Times New Roman" w:hAnsi="Times New Roman" w:eastAsiaTheme="minorEastAsia"/>
                <w:szCs w:val="21"/>
              </w:rPr>
              <w:t>满意度</w:t>
            </w:r>
          </w:p>
        </w:tc>
        <w:tc>
          <w:tcPr>
            <w:tcW w:w="2665" w:type="dxa"/>
            <w:vAlign w:val="center"/>
          </w:tcPr>
          <w:p>
            <w:pPr>
              <w:pStyle w:val="14"/>
              <w:rPr>
                <w:rFonts w:ascii="Times New Roman" w:hAnsi="Times New Roman" w:eastAsiaTheme="minorEastAsia"/>
                <w:szCs w:val="21"/>
              </w:rPr>
            </w:pPr>
            <w:r>
              <w:rPr>
                <w:rFonts w:ascii="Times New Roman" w:hAnsi="Times New Roman" w:eastAsiaTheme="minorEastAsia"/>
                <w:szCs w:val="21"/>
              </w:rPr>
              <w:t>认定企业对认定工作的满意度</w:t>
            </w:r>
          </w:p>
        </w:tc>
        <w:tc>
          <w:tcPr>
            <w:tcW w:w="1176"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≥90%</w:t>
            </w:r>
          </w:p>
        </w:tc>
        <w:tc>
          <w:tcPr>
            <w:tcW w:w="1698" w:type="dxa"/>
            <w:vAlign w:val="center"/>
          </w:tcPr>
          <w:p>
            <w:pPr>
              <w:pStyle w:val="14"/>
              <w:jc w:val="center"/>
              <w:rPr>
                <w:rFonts w:ascii="Times New Roman" w:hAnsi="Times New Roman" w:eastAsiaTheme="minorEastAsia"/>
                <w:szCs w:val="21"/>
              </w:rPr>
            </w:pPr>
            <w:r>
              <w:rPr>
                <w:rFonts w:ascii="Times New Roman" w:hAnsi="Times New Roman" w:eastAsiaTheme="minorEastAsia"/>
                <w:szCs w:val="21"/>
              </w:rPr>
              <w:t>调查问卷</w:t>
            </w:r>
          </w:p>
        </w:tc>
      </w:tr>
    </w:tbl>
    <w:p>
      <w:pPr>
        <w:sectPr>
          <w:pgSz w:w="11900" w:h="16840"/>
          <w:pgMar w:top="1701" w:right="1418" w:bottom="1701" w:left="1418" w:header="720" w:footer="1247" w:gutter="0"/>
          <w:cols w:space="720" w:num="1"/>
        </w:sectPr>
      </w:pPr>
    </w:p>
    <w:p>
      <w:pPr>
        <w:ind w:firstLine="640" w:firstLineChars="200"/>
        <w:outlineLvl w:val="3"/>
        <w:rPr>
          <w:color w:val="FF0000"/>
        </w:rPr>
      </w:pPr>
      <w:bookmarkStart w:id="24" w:name="_Toc_4_4_0000000031"/>
      <w:r>
        <w:rPr>
          <w:rFonts w:eastAsia="黑体" w:cs="方正仿宋_GBK"/>
          <w:color w:val="000000"/>
          <w:sz w:val="32"/>
          <w:szCs w:val="32"/>
        </w:rPr>
        <w:t>2</w:t>
      </w:r>
      <w:r>
        <w:rPr>
          <w:rFonts w:hint="eastAsia" w:eastAsia="黑体" w:cs="方正仿宋_GBK"/>
          <w:color w:val="000000"/>
          <w:sz w:val="32"/>
          <w:szCs w:val="32"/>
          <w:lang w:val="en-US" w:eastAsia="zh-CN"/>
        </w:rPr>
        <w:t>4</w:t>
      </w:r>
      <w:r>
        <w:rPr>
          <w:rFonts w:eastAsia="黑体" w:cs="方正仿宋_GBK"/>
          <w:color w:val="000000"/>
          <w:sz w:val="32"/>
          <w:szCs w:val="32"/>
        </w:rPr>
        <w:t>.数据中心项目能源消耗情况第三方专业核查经费绩效目标表</w:t>
      </w:r>
      <w:bookmarkEnd w:id="24"/>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13100022P00269610002B</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数据中心项目能源消耗情况第三方专业核查经费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25.00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25.00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委托第三方专业机构对廊坊市范围内投入运营、在建及已批未建的数据中心项目能耗消耗情况开展核查，逐项梳理数据中心项目实际用能情况，科学研判其发展趋势，合理厘定数据中心项目能耗。具体工作为第三方专业机构的检测、核查、评估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60%</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强化能耗“双控”管理，确保我市如期完成“十四五”目标任务。通过节能主管机构依法监察和第三方机构专家现场核验同步开展的方式，逐项梳理数据中心项目实际用能情况，科学研判其发展趋势，合理厘定数据中心项目能耗，优化我市能耗指标。</w:t>
            </w:r>
          </w:p>
          <w:p>
            <w:pPr>
              <w:pStyle w:val="14"/>
              <w:rPr>
                <w:rFonts w:ascii="Times New Roman" w:hAnsi="Times New Roman" w:eastAsiaTheme="minorEastAsia"/>
              </w:rPr>
            </w:pPr>
            <w:r>
              <w:rPr>
                <w:rFonts w:ascii="Times New Roman" w:hAnsi="Times New Roman" w:eastAsiaTheme="minorEastAsia"/>
              </w:rPr>
              <w:t>2.拟委托第三方专业机构对全市范围内投入运营、在建及已批未建的数据中心项目能耗消耗情况开展核查，逐项梳理数据中心项目实际用能情况，科学研判其发展趋势，合理厘定数据中心项目能耗，优化我市能耗指标。</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核查数据中心项目数量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第三方机构核查数据中心项目数量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核查项目清单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工作完成质量达标率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保质保量完成工作</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核查报告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按时完成工作进度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核查项目时间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成本使用情况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≤25万元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保障我市未来产业项目用能需求。</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加强我市能耗“双控”管理，确保我市如期完成“十四五”目标任务，保障未来我市产业项目用能需求。</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保障</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相关科室对核查报告满意度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相关科室对核查报告满意度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5" w:name="_Toc_4_4_0000000032"/>
      <w:r>
        <w:rPr>
          <w:rFonts w:eastAsia="黑体" w:cs="方正仿宋_GBK"/>
          <w:color w:val="000000"/>
          <w:sz w:val="32"/>
          <w:szCs w:val="32"/>
        </w:rPr>
        <w:t>2</w:t>
      </w:r>
      <w:r>
        <w:rPr>
          <w:rFonts w:hint="eastAsia" w:eastAsia="黑体" w:cs="方正仿宋_GBK"/>
          <w:color w:val="000000"/>
          <w:sz w:val="32"/>
          <w:szCs w:val="32"/>
          <w:lang w:val="en-US" w:eastAsia="zh-CN"/>
        </w:rPr>
        <w:t>5</w:t>
      </w:r>
      <w:r>
        <w:rPr>
          <w:rFonts w:eastAsia="黑体" w:cs="方正仿宋_GBK"/>
          <w:color w:val="000000"/>
          <w:sz w:val="32"/>
          <w:szCs w:val="32"/>
        </w:rPr>
        <w:t>.项目管理库和项目检测调度平台维护经费绩效目标表</w:t>
      </w:r>
      <w:bookmarkEnd w:id="25"/>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13100022P002663100011</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项目管理库和项目检测调度平台维护经费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主要用于全市项目管理库建设，确保项目管理库的正常运行</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95%</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95%</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95%</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1.确保2022年我市重点项目管理库和项目检测调度平台正常运行，为全市经济社会发展提供保障。</w:t>
            </w:r>
          </w:p>
          <w:p>
            <w:pPr>
              <w:pStyle w:val="14"/>
              <w:rPr>
                <w:rFonts w:ascii="Times New Roman" w:hAnsi="Times New Roman" w:eastAsiaTheme="minorEastAsia"/>
              </w:rPr>
            </w:pPr>
            <w:r>
              <w:rPr>
                <w:rFonts w:ascii="Times New Roman" w:hAnsi="Times New Roman" w:eastAsiaTheme="minorEastAsia"/>
              </w:rPr>
              <w:t>2.提高重点项目精准化管理水平，详细掌握项目进展情况和准确梳理项目建设中存在的问题，为各级各部门高效协调解决存在问题，推动项目按计划顺利实施提供保障。</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平台维护</w:t>
            </w:r>
          </w:p>
          <w:p>
            <w:pPr>
              <w:pStyle w:val="14"/>
              <w:jc w:val="center"/>
              <w:rPr>
                <w:rFonts w:ascii="Times New Roman" w:hAnsi="Times New Roman" w:eastAsiaTheme="minorEastAsia"/>
              </w:rPr>
            </w:pPr>
            <w:r>
              <w:rPr>
                <w:rFonts w:ascii="Times New Roman" w:hAnsi="Times New Roman" w:eastAsiaTheme="minorEastAsia"/>
              </w:rPr>
              <w:t>项目数量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考核平台维护项目数量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≥1000个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项目库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平台运行</w:t>
            </w:r>
          </w:p>
          <w:p>
            <w:pPr>
              <w:pStyle w:val="14"/>
              <w:jc w:val="center"/>
              <w:rPr>
                <w:rFonts w:ascii="Times New Roman" w:hAnsi="Times New Roman" w:eastAsiaTheme="minorEastAsia"/>
              </w:rPr>
            </w:pPr>
            <w:r>
              <w:rPr>
                <w:rFonts w:ascii="Times New Roman" w:hAnsi="Times New Roman" w:eastAsiaTheme="minorEastAsia"/>
              </w:rPr>
              <w:t>稳定率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平台安全稳定运行情况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≥95%</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廊发改[2016]33号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资金拨付</w:t>
            </w:r>
          </w:p>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资金拨付及时情况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成本控制</w:t>
            </w:r>
          </w:p>
          <w:p>
            <w:pPr>
              <w:pStyle w:val="14"/>
              <w:jc w:val="center"/>
              <w:rPr>
                <w:rFonts w:ascii="Times New Roman" w:hAnsi="Times New Roman" w:eastAsiaTheme="minorEastAsia"/>
              </w:rPr>
            </w:pPr>
            <w:r>
              <w:rPr>
                <w:rFonts w:ascii="Times New Roman" w:hAnsi="Times New Roman" w:eastAsiaTheme="minorEastAsia"/>
              </w:rPr>
              <w:t>金额</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项目支出在预算标准范围内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≤45万元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提高重点</w:t>
            </w:r>
          </w:p>
          <w:p>
            <w:pPr>
              <w:pStyle w:val="14"/>
              <w:jc w:val="center"/>
              <w:rPr>
                <w:rFonts w:ascii="Times New Roman" w:hAnsi="Times New Roman" w:eastAsiaTheme="minorEastAsia"/>
              </w:rPr>
            </w:pPr>
            <w:r>
              <w:rPr>
                <w:rFonts w:ascii="Times New Roman" w:hAnsi="Times New Roman" w:eastAsiaTheme="minorEastAsia"/>
              </w:rPr>
              <w:t>项目精准化管理水平</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提高重点项目精准化管理水平情况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提高</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服务对象满意度指标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平台使用人员满意程度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平台使用人员满意度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问卷调查</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6" w:name="_Toc_4_4_0000000033"/>
      <w:r>
        <w:rPr>
          <w:rFonts w:hint="eastAsia" w:eastAsia="黑体" w:cs="方正仿宋_GBK"/>
          <w:color w:val="000000"/>
          <w:sz w:val="32"/>
          <w:szCs w:val="32"/>
          <w:lang w:val="en-US" w:eastAsia="zh-CN"/>
        </w:rPr>
        <w:t>26</w:t>
      </w:r>
      <w:r>
        <w:rPr>
          <w:rFonts w:eastAsia="黑体" w:cs="方正仿宋_GBK"/>
          <w:color w:val="000000"/>
          <w:sz w:val="32"/>
          <w:szCs w:val="32"/>
        </w:rPr>
        <w:t>.雄安新区至北京大兴国际机场快线（永清段）项目市级资金绩效目标表</w:t>
      </w:r>
      <w:bookmarkEnd w:id="26"/>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13100021P001745100028</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雄安新区至北京大兴国际机场快线</w:t>
            </w:r>
          </w:p>
          <w:p>
            <w:pPr>
              <w:pStyle w:val="14"/>
              <w:jc w:val="center"/>
              <w:rPr>
                <w:rFonts w:ascii="Times New Roman" w:hAnsi="Times New Roman" w:eastAsiaTheme="minorEastAsia"/>
              </w:rPr>
            </w:pPr>
            <w:r>
              <w:rPr>
                <w:rFonts w:ascii="Times New Roman" w:hAnsi="Times New Roman" w:eastAsiaTheme="minorEastAsia"/>
              </w:rPr>
              <w:t>（永清段）项目市级资金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45000.00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45000.00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预算资金45000万元，其中财政资金45000万元。主要用于雄安新区至北京大兴国际机场快线（永清段）建设。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100%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1.建设雄安新区至北京大兴国际机场快线，加快打造“轨道上的京津冀”的具体举措。</w:t>
            </w:r>
          </w:p>
          <w:p>
            <w:pPr>
              <w:pStyle w:val="14"/>
              <w:rPr>
                <w:rFonts w:ascii="Times New Roman" w:hAnsi="Times New Roman" w:eastAsiaTheme="minorEastAsia"/>
              </w:rPr>
            </w:pPr>
            <w:r>
              <w:rPr>
                <w:rFonts w:ascii="Times New Roman" w:hAnsi="Times New Roman" w:eastAsiaTheme="minorEastAsia"/>
              </w:rPr>
              <w:t>2.实现雄安新区与北京市中心城区轨道交通直连直通，尽快形成英雄一小时通勤圈，增强雄安新区对北京非首都功能疏解的吸引力和承载力，是具有重要意义。</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下拨单位</w:t>
            </w:r>
          </w:p>
          <w:p>
            <w:pPr>
              <w:pStyle w:val="14"/>
              <w:jc w:val="center"/>
              <w:rPr>
                <w:rFonts w:ascii="Times New Roman" w:hAnsi="Times New Roman" w:eastAsiaTheme="minorEastAsia"/>
              </w:rPr>
            </w:pPr>
            <w:r>
              <w:rPr>
                <w:rFonts w:ascii="Times New Roman" w:hAnsi="Times New Roman" w:eastAsiaTheme="minorEastAsia"/>
              </w:rPr>
              <w:t>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拨付单位数量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拨付申请资料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符合拨付</w:t>
            </w:r>
          </w:p>
          <w:p>
            <w:pPr>
              <w:pStyle w:val="14"/>
              <w:jc w:val="center"/>
              <w:rPr>
                <w:rFonts w:ascii="Times New Roman" w:hAnsi="Times New Roman" w:eastAsiaTheme="minorEastAsia"/>
              </w:rPr>
            </w:pPr>
            <w:r>
              <w:rPr>
                <w:rFonts w:ascii="Times New Roman" w:hAnsi="Times New Roman" w:eastAsiaTheme="minorEastAsia"/>
              </w:rPr>
              <w:t>单位</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符合拨付文件标准</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符合</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依据文件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资金拨付及时</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按要求及时拨付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项目成本</w:t>
            </w:r>
          </w:p>
          <w:p>
            <w:pPr>
              <w:pStyle w:val="14"/>
              <w:jc w:val="center"/>
              <w:rPr>
                <w:rFonts w:ascii="Times New Roman" w:hAnsi="Times New Roman" w:eastAsiaTheme="minorEastAsia"/>
              </w:rPr>
            </w:pPr>
            <w:r>
              <w:rPr>
                <w:rFonts w:ascii="Times New Roman" w:hAnsi="Times New Roman" w:eastAsiaTheme="minorEastAsia"/>
              </w:rPr>
              <w:t>控制</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成本控制在预算范围内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45000万元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项目可研报告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提升航空</w:t>
            </w:r>
          </w:p>
          <w:p>
            <w:pPr>
              <w:pStyle w:val="14"/>
              <w:jc w:val="center"/>
              <w:rPr>
                <w:rFonts w:ascii="Times New Roman" w:hAnsi="Times New Roman" w:eastAsiaTheme="minorEastAsia"/>
              </w:rPr>
            </w:pPr>
            <w:r>
              <w:rPr>
                <w:rFonts w:ascii="Times New Roman" w:hAnsi="Times New Roman" w:eastAsiaTheme="minorEastAsia"/>
              </w:rPr>
              <w:t>服务水平</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提升雄安新区实现城市航站楼和行李托运系统功能，提升航空服务水平</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有效改善</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项目可研报告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拨付单位</w:t>
            </w:r>
          </w:p>
          <w:p>
            <w:pPr>
              <w:pStyle w:val="14"/>
              <w:jc w:val="center"/>
              <w:rPr>
                <w:rFonts w:ascii="Times New Roman" w:hAnsi="Times New Roman" w:eastAsiaTheme="minorEastAsia"/>
              </w:rPr>
            </w:pPr>
            <w:r>
              <w:rPr>
                <w:rFonts w:ascii="Times New Roman" w:hAnsi="Times New Roman" w:eastAsiaTheme="minorEastAsia"/>
              </w:rPr>
              <w:t>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拨付单位对拨付资金的满意度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≥95%</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7" w:name="_Toc_4_4_0000000034"/>
      <w:r>
        <w:rPr>
          <w:rFonts w:hint="eastAsia" w:eastAsia="黑体" w:cs="方正仿宋_GBK"/>
          <w:color w:val="000000"/>
          <w:sz w:val="32"/>
          <w:szCs w:val="32"/>
          <w:lang w:val="en-US" w:eastAsia="zh-CN"/>
        </w:rPr>
        <w:t>27</w:t>
      </w:r>
      <w:r>
        <w:rPr>
          <w:rFonts w:eastAsia="黑体" w:cs="方正仿宋_GBK"/>
          <w:color w:val="000000"/>
          <w:sz w:val="32"/>
          <w:szCs w:val="32"/>
        </w:rPr>
        <w:t>.迎峰度冬天然气应急保障资金绩效目标表</w:t>
      </w:r>
      <w:bookmarkEnd w:id="27"/>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13100022P00267910001A</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迎峰度冬天然气应急保障资金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2900.00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2900.00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主要用于保障天然气迎峰度冬形势总体平稳，确保人民群众生活等重点用气需求。</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1.保障天然气迎峰度冬形势总体平稳，确保人民群众生活等重点用气需求。</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奖补企业</w:t>
            </w:r>
          </w:p>
          <w:p>
            <w:pPr>
              <w:pStyle w:val="14"/>
              <w:jc w:val="center"/>
              <w:rPr>
                <w:rFonts w:ascii="Times New Roman" w:hAnsi="Times New Roman" w:eastAsiaTheme="minorEastAsia"/>
              </w:rPr>
            </w:pPr>
            <w:r>
              <w:rPr>
                <w:rFonts w:ascii="Times New Roman" w:hAnsi="Times New Roman" w:eastAsiaTheme="minorEastAsia"/>
              </w:rPr>
              <w:t>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主要考核奖补企业数量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奖补资金</w:t>
            </w:r>
          </w:p>
          <w:p>
            <w:pPr>
              <w:pStyle w:val="14"/>
              <w:jc w:val="center"/>
              <w:rPr>
                <w:rFonts w:ascii="Times New Roman" w:hAnsi="Times New Roman" w:eastAsiaTheme="minorEastAsia"/>
              </w:rPr>
            </w:pPr>
            <w:r>
              <w:rPr>
                <w:rFonts w:ascii="Times New Roman" w:hAnsi="Times New Roman" w:eastAsiaTheme="minorEastAsia"/>
              </w:rPr>
              <w:t>发放准确性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主要考核奖补资金发放情况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拨付资金</w:t>
            </w:r>
          </w:p>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拨付奖补资金的及时性</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《廊坊市重点燃气企业奖补办法》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成本控制率</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考核项目实施过程中各项支出控制情况</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≤100%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定额标准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断气事件</w:t>
            </w:r>
          </w:p>
          <w:p>
            <w:pPr>
              <w:pStyle w:val="14"/>
              <w:jc w:val="center"/>
              <w:rPr>
                <w:rFonts w:ascii="Times New Roman" w:hAnsi="Times New Roman" w:eastAsiaTheme="minorEastAsia"/>
              </w:rPr>
            </w:pPr>
            <w:r>
              <w:rPr>
                <w:rFonts w:ascii="Times New Roman" w:hAnsi="Times New Roman" w:eastAsiaTheme="minorEastAsia"/>
              </w:rPr>
              <w:t>发生次数</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主要考核对采暖季燃气用户的用气保障程度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≤1次</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燃气公司报告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奖补企业</w:t>
            </w:r>
          </w:p>
          <w:p>
            <w:pPr>
              <w:pStyle w:val="14"/>
              <w:jc w:val="center"/>
              <w:rPr>
                <w:rFonts w:ascii="Times New Roman" w:hAnsi="Times New Roman" w:eastAsiaTheme="minorEastAsia"/>
              </w:rPr>
            </w:pPr>
            <w:r>
              <w:rPr>
                <w:rFonts w:ascii="Times New Roman" w:hAnsi="Times New Roman" w:eastAsiaTheme="minorEastAsia"/>
              </w:rPr>
              <w:t>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考核奖补企业满意度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调查问卷</w:t>
            </w:r>
          </w:p>
        </w:tc>
      </w:tr>
    </w:tbl>
    <w:p>
      <w:pPr>
        <w:sectPr>
          <w:pgSz w:w="11900" w:h="16840"/>
          <w:pgMar w:top="1701" w:right="1418" w:bottom="1701" w:left="1418" w:header="720" w:footer="1247" w:gutter="0"/>
          <w:cols w:space="720" w:num="1"/>
        </w:sectPr>
      </w:pPr>
    </w:p>
    <w:p>
      <w:pPr>
        <w:ind w:firstLine="640" w:firstLineChars="200"/>
        <w:outlineLvl w:val="3"/>
        <w:rPr>
          <w:rFonts w:eastAsia="黑体" w:cs="方正仿宋_GBK"/>
          <w:color w:val="000000"/>
          <w:sz w:val="32"/>
          <w:szCs w:val="32"/>
        </w:rPr>
      </w:pPr>
      <w:bookmarkStart w:id="28" w:name="_Toc_4_4_0000000035"/>
      <w:r>
        <w:rPr>
          <w:rFonts w:hint="eastAsia" w:eastAsia="黑体" w:cs="方正仿宋_GBK"/>
          <w:color w:val="000000"/>
          <w:sz w:val="32"/>
          <w:szCs w:val="32"/>
          <w:lang w:val="en-US" w:eastAsia="zh-CN"/>
        </w:rPr>
        <w:t>28</w:t>
      </w:r>
      <w:r>
        <w:rPr>
          <w:rFonts w:eastAsia="黑体" w:cs="方正仿宋_GBK"/>
          <w:color w:val="000000"/>
          <w:sz w:val="32"/>
          <w:szCs w:val="32"/>
        </w:rPr>
        <w:t>.政府投资项目评估论证经费绩效目标表</w:t>
      </w:r>
      <w:bookmarkEnd w:id="28"/>
    </w:p>
    <w:tbl>
      <w:tblPr>
        <w:tblStyle w:val="8"/>
        <w:tblW w:w="9120"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1463"/>
        <w:gridCol w:w="1202"/>
        <w:gridCol w:w="1176"/>
        <w:gridCol w:w="1698"/>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7422" w:type="dxa"/>
            <w:gridSpan w:val="6"/>
            <w:tcBorders>
              <w:top w:val="single" w:color="FFFFFF" w:sz="6" w:space="0"/>
              <w:left w:val="single" w:color="FFFFFF" w:sz="6" w:space="0"/>
              <w:right w:val="single" w:color="FFFFFF" w:sz="6" w:space="0"/>
            </w:tcBorders>
            <w:vAlign w:val="center"/>
          </w:tcPr>
          <w:p>
            <w:pPr>
              <w:pStyle w:val="18"/>
              <w:rPr>
                <w:rFonts w:ascii="Times New Roman" w:hAnsi="Times New Roman" w:eastAsiaTheme="minorEastAsia"/>
              </w:rPr>
            </w:pPr>
            <w:r>
              <w:rPr>
                <w:rFonts w:ascii="Times New Roman" w:hAnsi="Times New Roman" w:eastAsiaTheme="minorEastAsia"/>
              </w:rPr>
              <w:t>221001廊坊市发展和改革委员会本级</w:t>
            </w:r>
          </w:p>
        </w:tc>
        <w:tc>
          <w:tcPr>
            <w:tcW w:w="1698" w:type="dxa"/>
            <w:tcBorders>
              <w:top w:val="single" w:color="FFFFFF" w:sz="6" w:space="0"/>
              <w:left w:val="single" w:color="FFFFFF" w:sz="6" w:space="0"/>
              <w:right w:val="single" w:color="FFFFFF" w:sz="6" w:space="0"/>
            </w:tcBorders>
            <w:vAlign w:val="center"/>
          </w:tcPr>
          <w:p>
            <w:pPr>
              <w:pStyle w:val="13"/>
              <w:rPr>
                <w:rFonts w:ascii="Times New Roman" w:hAnsi="Times New Roman" w:eastAsiaTheme="minorEastAsia"/>
              </w:rPr>
            </w:pPr>
            <w:r>
              <w:rPr>
                <w:rFonts w:ascii="Times New Roman" w:hAnsi="Times New Roman" w:eastAsiaTheme="minorEastAsi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项目编码</w:t>
            </w:r>
          </w:p>
        </w:tc>
        <w:tc>
          <w:tcPr>
            <w:tcW w:w="2404" w:type="dxa"/>
            <w:gridSpan w:val="2"/>
            <w:vAlign w:val="center"/>
          </w:tcPr>
          <w:p>
            <w:pPr>
              <w:pStyle w:val="14"/>
              <w:jc w:val="center"/>
              <w:rPr>
                <w:rFonts w:ascii="Times New Roman" w:hAnsi="Times New Roman" w:eastAsiaTheme="minorEastAsia"/>
              </w:rPr>
            </w:pPr>
            <w:r>
              <w:rPr>
                <w:rFonts w:ascii="Times New Roman" w:hAnsi="Times New Roman" w:eastAsiaTheme="minorEastAsia"/>
              </w:rPr>
              <w:t>13100022P00266510001C</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项目名称</w:t>
            </w:r>
          </w:p>
        </w:tc>
        <w:tc>
          <w:tcPr>
            <w:tcW w:w="4076" w:type="dxa"/>
            <w:gridSpan w:val="3"/>
            <w:vAlign w:val="center"/>
          </w:tcPr>
          <w:p>
            <w:pPr>
              <w:pStyle w:val="14"/>
              <w:jc w:val="center"/>
              <w:rPr>
                <w:rFonts w:ascii="Times New Roman" w:hAnsi="Times New Roman" w:eastAsiaTheme="minorEastAsia"/>
              </w:rPr>
            </w:pPr>
            <w:r>
              <w:rPr>
                <w:rFonts w:ascii="Times New Roman" w:hAnsi="Times New Roman" w:eastAsiaTheme="minorEastAsia"/>
              </w:rPr>
              <w:t>政府投资项目评估论证经费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预算规模及资金用途</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预算数</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200.00</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其中：财政    资金</w:t>
            </w:r>
          </w:p>
        </w:tc>
        <w:tc>
          <w:tcPr>
            <w:tcW w:w="1202" w:type="dxa"/>
            <w:vAlign w:val="center"/>
          </w:tcPr>
          <w:p>
            <w:pPr>
              <w:pStyle w:val="14"/>
              <w:jc w:val="center"/>
              <w:rPr>
                <w:rFonts w:ascii="Times New Roman" w:hAnsi="Times New Roman" w:eastAsiaTheme="minorEastAsia"/>
              </w:rPr>
            </w:pPr>
            <w:r>
              <w:rPr>
                <w:rFonts w:ascii="Times New Roman" w:hAnsi="Times New Roman" w:eastAsiaTheme="minorEastAsia"/>
              </w:rPr>
              <w:t>200.00</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其他资金</w:t>
            </w:r>
          </w:p>
        </w:tc>
        <w:tc>
          <w:tcPr>
            <w:tcW w:w="1698" w:type="dxa"/>
            <w:vAlign w:val="center"/>
          </w:tcPr>
          <w:p>
            <w:pPr>
              <w:pStyle w:val="14"/>
              <w:jc w:val="center"/>
              <w:rPr>
                <w:rFonts w:ascii="Times New Roman" w:hAnsi="Times New Roman" w:eastAsiaTheme="minorEastAsi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主要用于以咨询评估意见为基础，科学、合理完成建设规划批复、项目批复、资金申报等工作。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2"/>
              <w:rPr>
                <w:rFonts w:ascii="Times New Roman" w:hAnsi="Times New Roman" w:eastAsiaTheme="minorEastAsia"/>
              </w:rPr>
            </w:pPr>
            <w:r>
              <w:rPr>
                <w:rFonts w:ascii="Times New Roman" w:hAnsi="Times New Roman" w:eastAsiaTheme="minorEastAsia"/>
              </w:rPr>
              <w:t>资金支出计划（%）</w:t>
            </w:r>
          </w:p>
        </w:tc>
        <w:tc>
          <w:tcPr>
            <w:tcW w:w="2404" w:type="dxa"/>
            <w:gridSpan w:val="2"/>
            <w:vAlign w:val="center"/>
          </w:tcPr>
          <w:p>
            <w:pPr>
              <w:pStyle w:val="12"/>
              <w:rPr>
                <w:rFonts w:ascii="Times New Roman" w:hAnsi="Times New Roman" w:eastAsiaTheme="minorEastAsia"/>
              </w:rPr>
            </w:pPr>
            <w:r>
              <w:rPr>
                <w:rFonts w:ascii="Times New Roman" w:hAnsi="Times New Roman" w:eastAsiaTheme="minorEastAsia"/>
              </w:rPr>
              <w:t>3月底</w:t>
            </w:r>
          </w:p>
        </w:tc>
        <w:tc>
          <w:tcPr>
            <w:tcW w:w="1463" w:type="dxa"/>
            <w:vAlign w:val="center"/>
          </w:tcPr>
          <w:p>
            <w:pPr>
              <w:pStyle w:val="12"/>
              <w:rPr>
                <w:rFonts w:ascii="Times New Roman" w:hAnsi="Times New Roman" w:eastAsiaTheme="minorEastAsia"/>
              </w:rPr>
            </w:pPr>
            <w:r>
              <w:rPr>
                <w:rFonts w:ascii="Times New Roman" w:hAnsi="Times New Roman" w:eastAsiaTheme="minorEastAsia"/>
              </w:rPr>
              <w:t>6月底</w:t>
            </w:r>
          </w:p>
        </w:tc>
        <w:tc>
          <w:tcPr>
            <w:tcW w:w="1202" w:type="dxa"/>
            <w:vAlign w:val="center"/>
          </w:tcPr>
          <w:p>
            <w:pPr>
              <w:pStyle w:val="12"/>
              <w:rPr>
                <w:rFonts w:ascii="Times New Roman" w:hAnsi="Times New Roman" w:eastAsiaTheme="minorEastAsia"/>
              </w:rPr>
            </w:pPr>
            <w:r>
              <w:rPr>
                <w:rFonts w:ascii="Times New Roman" w:hAnsi="Times New Roman" w:eastAsiaTheme="minorEastAsia"/>
              </w:rPr>
              <w:t>10月底</w:t>
            </w:r>
          </w:p>
        </w:tc>
        <w:tc>
          <w:tcPr>
            <w:tcW w:w="2874" w:type="dxa"/>
            <w:gridSpan w:val="2"/>
            <w:vAlign w:val="center"/>
          </w:tcPr>
          <w:p>
            <w:pPr>
              <w:pStyle w:val="12"/>
              <w:rPr>
                <w:rFonts w:ascii="Times New Roman" w:hAnsi="Times New Roman" w:eastAsiaTheme="minorEastAsia"/>
              </w:rPr>
            </w:pPr>
            <w:r>
              <w:rPr>
                <w:rFonts w:ascii="Times New Roman" w:hAnsi="Times New Roman" w:eastAsiaTheme="minorEastAsi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tcPr>
          <w:p>
            <w:pPr>
              <w:rPr>
                <w:rFonts w:eastAsiaTheme="minorEastAsia"/>
              </w:rPr>
            </w:pPr>
          </w:p>
        </w:tc>
        <w:tc>
          <w:tcPr>
            <w:tcW w:w="2404" w:type="dxa"/>
            <w:gridSpan w:val="2"/>
            <w:vAlign w:val="center"/>
          </w:tcPr>
          <w:p>
            <w:pPr>
              <w:pStyle w:val="15"/>
              <w:rPr>
                <w:rFonts w:ascii="Times New Roman" w:hAnsi="Times New Roman" w:eastAsiaTheme="minorEastAsia"/>
              </w:rPr>
            </w:pPr>
            <w:r>
              <w:rPr>
                <w:rFonts w:ascii="Times New Roman" w:hAnsi="Times New Roman" w:eastAsiaTheme="minorEastAsia"/>
              </w:rPr>
              <w:t xml:space="preserve"> </w:t>
            </w:r>
          </w:p>
        </w:tc>
        <w:tc>
          <w:tcPr>
            <w:tcW w:w="1463" w:type="dxa"/>
            <w:vAlign w:val="center"/>
          </w:tcPr>
          <w:p>
            <w:pPr>
              <w:pStyle w:val="15"/>
              <w:rPr>
                <w:rFonts w:ascii="Times New Roman" w:hAnsi="Times New Roman" w:eastAsiaTheme="minorEastAsia"/>
              </w:rPr>
            </w:pPr>
            <w:r>
              <w:rPr>
                <w:rFonts w:ascii="Times New Roman" w:hAnsi="Times New Roman" w:eastAsiaTheme="minorEastAsia"/>
              </w:rPr>
              <w:t>60%</w:t>
            </w:r>
          </w:p>
        </w:tc>
        <w:tc>
          <w:tcPr>
            <w:tcW w:w="1202" w:type="dxa"/>
            <w:vAlign w:val="center"/>
          </w:tcPr>
          <w:p>
            <w:pPr>
              <w:pStyle w:val="15"/>
              <w:rPr>
                <w:rFonts w:ascii="Times New Roman" w:hAnsi="Times New Roman" w:eastAsiaTheme="minorEastAsia"/>
              </w:rPr>
            </w:pPr>
            <w:r>
              <w:rPr>
                <w:rFonts w:ascii="Times New Roman" w:hAnsi="Times New Roman" w:eastAsiaTheme="minorEastAsia"/>
              </w:rPr>
              <w:t>90%</w:t>
            </w:r>
          </w:p>
        </w:tc>
        <w:tc>
          <w:tcPr>
            <w:tcW w:w="2874" w:type="dxa"/>
            <w:gridSpan w:val="2"/>
            <w:vAlign w:val="center"/>
          </w:tcPr>
          <w:p>
            <w:pPr>
              <w:pStyle w:val="15"/>
              <w:rPr>
                <w:rFonts w:ascii="Times New Roman" w:hAnsi="Times New Roman" w:eastAsiaTheme="minorEastAsia"/>
              </w:rPr>
            </w:pPr>
            <w:r>
              <w:rPr>
                <w:rFonts w:ascii="Times New Roman" w:hAnsi="Times New Roman" w:eastAsiaTheme="minorEastAsi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绩效目标</w:t>
            </w:r>
          </w:p>
        </w:tc>
        <w:tc>
          <w:tcPr>
            <w:tcW w:w="7943" w:type="dxa"/>
            <w:gridSpan w:val="6"/>
            <w:vAlign w:val="center"/>
          </w:tcPr>
          <w:p>
            <w:pPr>
              <w:pStyle w:val="14"/>
              <w:rPr>
                <w:rFonts w:ascii="Times New Roman" w:hAnsi="Times New Roman" w:eastAsiaTheme="minorEastAsia"/>
              </w:rPr>
            </w:pPr>
            <w:r>
              <w:rPr>
                <w:rFonts w:ascii="Times New Roman" w:hAnsi="Times New Roman" w:eastAsiaTheme="minorEastAsia"/>
              </w:rPr>
              <w:t>1.为加强投资决策的科学性和民主性，提高投资咨询评估的质量和效率，高效集约利用财政性资金。</w:t>
            </w:r>
          </w:p>
          <w:p>
            <w:pPr>
              <w:pStyle w:val="14"/>
              <w:rPr>
                <w:rFonts w:ascii="Times New Roman" w:hAnsi="Times New Roman" w:eastAsiaTheme="minorEastAsia"/>
              </w:rPr>
            </w:pPr>
            <w:r>
              <w:rPr>
                <w:rFonts w:ascii="Times New Roman" w:hAnsi="Times New Roman" w:eastAsiaTheme="minorEastAsia"/>
              </w:rPr>
              <w:t>2.以咨询评估意见为基础，科学、合理完成建设规划批复、项目批复、资金申报等工作，保障我市项目正常顺利实施，高效集约利用财政性资金。</w:t>
            </w:r>
          </w:p>
        </w:tc>
      </w:tr>
    </w:tbl>
    <w:p>
      <w:pPr>
        <w:spacing w:line="2" w:lineRule="exact"/>
        <w:jc w:val="center"/>
      </w:pPr>
      <w:r>
        <w:rPr>
          <w:rFonts w:eastAsia="方正书宋_GBK" w:cs="方正书宋_GBK"/>
          <w:color w:val="000000"/>
          <w:sz w:val="21"/>
        </w:rPr>
        <w:t xml:space="preserve"> </w:t>
      </w:r>
    </w:p>
    <w:tbl>
      <w:tblPr>
        <w:tblStyle w:val="8"/>
        <w:tblW w:w="912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7"/>
        <w:gridCol w:w="1176"/>
        <w:gridCol w:w="1228"/>
        <w:gridCol w:w="2665"/>
        <w:gridCol w:w="1176"/>
        <w:gridCol w:w="16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tblHeader/>
          <w:jc w:val="center"/>
        </w:trPr>
        <w:tc>
          <w:tcPr>
            <w:tcW w:w="1177" w:type="dxa"/>
            <w:vAlign w:val="center"/>
          </w:tcPr>
          <w:p>
            <w:pPr>
              <w:pStyle w:val="12"/>
              <w:rPr>
                <w:rFonts w:ascii="Times New Roman" w:hAnsi="Times New Roman" w:eastAsiaTheme="minorEastAsia"/>
              </w:rPr>
            </w:pPr>
            <w:r>
              <w:rPr>
                <w:rFonts w:ascii="Times New Roman" w:hAnsi="Times New Roman" w:eastAsiaTheme="minorEastAsia"/>
              </w:rPr>
              <w:t>一级指标</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二级指标</w:t>
            </w:r>
          </w:p>
        </w:tc>
        <w:tc>
          <w:tcPr>
            <w:tcW w:w="1228" w:type="dxa"/>
            <w:vAlign w:val="center"/>
          </w:tcPr>
          <w:p>
            <w:pPr>
              <w:pStyle w:val="12"/>
              <w:rPr>
                <w:rFonts w:ascii="Times New Roman" w:hAnsi="Times New Roman" w:eastAsiaTheme="minorEastAsia"/>
              </w:rPr>
            </w:pPr>
            <w:r>
              <w:rPr>
                <w:rFonts w:ascii="Times New Roman" w:hAnsi="Times New Roman" w:eastAsiaTheme="minorEastAsia"/>
              </w:rPr>
              <w:t>三级指标</w:t>
            </w:r>
          </w:p>
        </w:tc>
        <w:tc>
          <w:tcPr>
            <w:tcW w:w="2665" w:type="dxa"/>
            <w:vAlign w:val="center"/>
          </w:tcPr>
          <w:p>
            <w:pPr>
              <w:pStyle w:val="12"/>
              <w:rPr>
                <w:rFonts w:ascii="Times New Roman" w:hAnsi="Times New Roman" w:eastAsiaTheme="minorEastAsia"/>
              </w:rPr>
            </w:pPr>
            <w:r>
              <w:rPr>
                <w:rFonts w:ascii="Times New Roman" w:hAnsi="Times New Roman" w:eastAsiaTheme="minorEastAsia"/>
              </w:rPr>
              <w:t>绩效指标描述</w:t>
            </w:r>
          </w:p>
        </w:tc>
        <w:tc>
          <w:tcPr>
            <w:tcW w:w="1176" w:type="dxa"/>
            <w:vAlign w:val="center"/>
          </w:tcPr>
          <w:p>
            <w:pPr>
              <w:pStyle w:val="12"/>
              <w:rPr>
                <w:rFonts w:ascii="Times New Roman" w:hAnsi="Times New Roman" w:eastAsiaTheme="minorEastAsia"/>
              </w:rPr>
            </w:pPr>
            <w:r>
              <w:rPr>
                <w:rFonts w:ascii="Times New Roman" w:hAnsi="Times New Roman" w:eastAsiaTheme="minorEastAsia"/>
              </w:rPr>
              <w:t>指标值</w:t>
            </w:r>
          </w:p>
        </w:tc>
        <w:tc>
          <w:tcPr>
            <w:tcW w:w="1698" w:type="dxa"/>
            <w:vAlign w:val="center"/>
          </w:tcPr>
          <w:p>
            <w:pPr>
              <w:pStyle w:val="12"/>
              <w:rPr>
                <w:rFonts w:ascii="Times New Roman" w:hAnsi="Times New Roman" w:eastAsiaTheme="minorEastAsia"/>
              </w:rPr>
            </w:pPr>
            <w:r>
              <w:rPr>
                <w:rFonts w:ascii="Times New Roman" w:hAnsi="Times New Roman" w:eastAsiaTheme="minorEastAsi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restart"/>
            <w:vAlign w:val="center"/>
          </w:tcPr>
          <w:p>
            <w:pPr>
              <w:pStyle w:val="15"/>
              <w:rPr>
                <w:rFonts w:ascii="Times New Roman" w:hAnsi="Times New Roman" w:eastAsiaTheme="minorEastAsia"/>
              </w:rPr>
            </w:pPr>
            <w:r>
              <w:rPr>
                <w:rFonts w:ascii="Times New Roman" w:hAnsi="Times New Roman" w:eastAsiaTheme="minorEastAsia"/>
              </w:rPr>
              <w:t>产出指标</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数量指标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编制评估</w:t>
            </w:r>
          </w:p>
          <w:p>
            <w:pPr>
              <w:pStyle w:val="14"/>
              <w:jc w:val="center"/>
              <w:rPr>
                <w:rFonts w:ascii="Times New Roman" w:hAnsi="Times New Roman" w:eastAsiaTheme="minorEastAsia"/>
              </w:rPr>
            </w:pPr>
            <w:r>
              <w:rPr>
                <w:rFonts w:ascii="Times New Roman" w:hAnsi="Times New Roman" w:eastAsiaTheme="minorEastAsia"/>
              </w:rPr>
              <w:t>报告数量</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编制评估报告数量</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≥80个</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评估报告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质量指标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达到评估</w:t>
            </w:r>
          </w:p>
          <w:p>
            <w:pPr>
              <w:pStyle w:val="14"/>
              <w:jc w:val="center"/>
              <w:rPr>
                <w:rFonts w:ascii="Times New Roman" w:hAnsi="Times New Roman" w:eastAsiaTheme="minorEastAsia"/>
              </w:rPr>
            </w:pPr>
            <w:r>
              <w:rPr>
                <w:rFonts w:ascii="Times New Roman" w:hAnsi="Times New Roman" w:eastAsiaTheme="minorEastAsia"/>
              </w:rPr>
              <w:t>深度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满足审批条件</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满足</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建设规划、建设项目等批复文件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时效指标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评估报告</w:t>
            </w:r>
          </w:p>
          <w:p>
            <w:pPr>
              <w:pStyle w:val="14"/>
              <w:jc w:val="center"/>
              <w:rPr>
                <w:rFonts w:ascii="Times New Roman" w:hAnsi="Times New Roman" w:eastAsiaTheme="minorEastAsia"/>
              </w:rPr>
            </w:pPr>
            <w:r>
              <w:rPr>
                <w:rFonts w:ascii="Times New Roman" w:hAnsi="Times New Roman" w:eastAsiaTheme="minorEastAsia"/>
              </w:rPr>
              <w:t>及时性</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按照规定时间完成评估工作</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及时</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Merge w:val="continue"/>
            <w:vAlign w:val="center"/>
          </w:tcPr>
          <w:p>
            <w:pPr>
              <w:jc w:val="center"/>
              <w:rPr>
                <w:rFonts w:eastAsiaTheme="minorEastAsia"/>
              </w:rPr>
            </w:pP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成本指标</w:t>
            </w:r>
          </w:p>
        </w:tc>
        <w:tc>
          <w:tcPr>
            <w:tcW w:w="1228"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成本总额</w:t>
            </w:r>
          </w:p>
          <w:p>
            <w:pPr>
              <w:pStyle w:val="14"/>
              <w:jc w:val="center"/>
              <w:rPr>
                <w:rFonts w:ascii="Times New Roman" w:hAnsi="Times New Roman" w:eastAsiaTheme="minorEastAsia"/>
              </w:rPr>
            </w:pPr>
            <w:r>
              <w:rPr>
                <w:rFonts w:ascii="Times New Roman" w:hAnsi="Times New Roman" w:eastAsiaTheme="minorEastAsia"/>
              </w:rPr>
              <w:t>控制</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成本支出总额控制在预算范围内</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≤200万元</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效益指标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社会效益</w:t>
            </w:r>
          </w:p>
          <w:p>
            <w:pPr>
              <w:pStyle w:val="14"/>
              <w:jc w:val="center"/>
              <w:rPr>
                <w:rFonts w:ascii="Times New Roman" w:hAnsi="Times New Roman" w:eastAsiaTheme="minorEastAsia"/>
              </w:rPr>
            </w:pPr>
            <w:r>
              <w:rPr>
                <w:rFonts w:ascii="Times New Roman" w:hAnsi="Times New Roman" w:eastAsiaTheme="minorEastAsia"/>
              </w:rPr>
              <w:t>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推进政府投资项目建设</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通过对政府投资项目专项规划，对投资项目的完成起到作用</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推进</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69" w:hRule="atLeast"/>
          <w:jc w:val="center"/>
        </w:trPr>
        <w:tc>
          <w:tcPr>
            <w:tcW w:w="1177" w:type="dxa"/>
            <w:vAlign w:val="center"/>
          </w:tcPr>
          <w:p>
            <w:pPr>
              <w:pStyle w:val="15"/>
              <w:rPr>
                <w:rFonts w:ascii="Times New Roman" w:hAnsi="Times New Roman" w:eastAsiaTheme="minorEastAsia"/>
              </w:rPr>
            </w:pPr>
            <w:r>
              <w:rPr>
                <w:rFonts w:ascii="Times New Roman" w:hAnsi="Times New Roman" w:eastAsiaTheme="minorEastAsia"/>
              </w:rPr>
              <w:t>满意度指标</w:t>
            </w:r>
          </w:p>
        </w:tc>
        <w:tc>
          <w:tcPr>
            <w:tcW w:w="1176" w:type="dxa"/>
            <w:vAlign w:val="center"/>
          </w:tcPr>
          <w:p>
            <w:pPr>
              <w:pStyle w:val="14"/>
              <w:jc w:val="center"/>
              <w:rPr>
                <w:rFonts w:hint="eastAsia" w:ascii="Times New Roman" w:hAnsi="Times New Roman" w:eastAsiaTheme="minorEastAsia"/>
                <w:lang w:eastAsia="zh-CN"/>
              </w:rPr>
            </w:pPr>
            <w:r>
              <w:rPr>
                <w:rFonts w:ascii="Times New Roman" w:hAnsi="Times New Roman" w:eastAsiaTheme="minorEastAsia"/>
              </w:rPr>
              <w:t>服务对象</w:t>
            </w:r>
          </w:p>
          <w:p>
            <w:pPr>
              <w:pStyle w:val="14"/>
              <w:jc w:val="center"/>
              <w:rPr>
                <w:rFonts w:ascii="Times New Roman" w:hAnsi="Times New Roman" w:eastAsiaTheme="minorEastAsia"/>
              </w:rPr>
            </w:pPr>
            <w:r>
              <w:rPr>
                <w:rFonts w:ascii="Times New Roman" w:hAnsi="Times New Roman" w:eastAsiaTheme="minorEastAsia"/>
              </w:rPr>
              <w:t>满意度指标</w:t>
            </w:r>
          </w:p>
        </w:tc>
        <w:tc>
          <w:tcPr>
            <w:tcW w:w="1228" w:type="dxa"/>
            <w:vAlign w:val="center"/>
          </w:tcPr>
          <w:p>
            <w:pPr>
              <w:pStyle w:val="14"/>
              <w:jc w:val="center"/>
              <w:rPr>
                <w:rFonts w:ascii="Times New Roman" w:hAnsi="Times New Roman" w:eastAsiaTheme="minorEastAsia"/>
              </w:rPr>
            </w:pPr>
            <w:r>
              <w:rPr>
                <w:rFonts w:ascii="Times New Roman" w:hAnsi="Times New Roman" w:eastAsiaTheme="minorEastAsia"/>
              </w:rPr>
              <w:t>项目单位满意度</w:t>
            </w:r>
          </w:p>
        </w:tc>
        <w:tc>
          <w:tcPr>
            <w:tcW w:w="2665" w:type="dxa"/>
            <w:vAlign w:val="center"/>
          </w:tcPr>
          <w:p>
            <w:pPr>
              <w:pStyle w:val="14"/>
              <w:rPr>
                <w:rFonts w:ascii="Times New Roman" w:hAnsi="Times New Roman" w:eastAsiaTheme="minorEastAsia"/>
              </w:rPr>
            </w:pPr>
            <w:r>
              <w:rPr>
                <w:rFonts w:ascii="Times New Roman" w:hAnsi="Times New Roman" w:eastAsiaTheme="minorEastAsia"/>
              </w:rPr>
              <w:t>考核项目单位满意程度</w:t>
            </w:r>
          </w:p>
        </w:tc>
        <w:tc>
          <w:tcPr>
            <w:tcW w:w="1176" w:type="dxa"/>
            <w:vAlign w:val="center"/>
          </w:tcPr>
          <w:p>
            <w:pPr>
              <w:pStyle w:val="14"/>
              <w:jc w:val="center"/>
              <w:rPr>
                <w:rFonts w:ascii="Times New Roman" w:hAnsi="Times New Roman" w:eastAsiaTheme="minorEastAsia"/>
              </w:rPr>
            </w:pPr>
            <w:r>
              <w:rPr>
                <w:rFonts w:ascii="Times New Roman" w:hAnsi="Times New Roman" w:eastAsiaTheme="minorEastAsia"/>
              </w:rPr>
              <w:t>≥90%</w:t>
            </w:r>
          </w:p>
        </w:tc>
        <w:tc>
          <w:tcPr>
            <w:tcW w:w="1698" w:type="dxa"/>
            <w:vAlign w:val="center"/>
          </w:tcPr>
          <w:p>
            <w:pPr>
              <w:pStyle w:val="14"/>
              <w:jc w:val="center"/>
              <w:rPr>
                <w:rFonts w:ascii="Times New Roman" w:hAnsi="Times New Roman" w:eastAsiaTheme="minorEastAsia"/>
              </w:rPr>
            </w:pPr>
            <w:r>
              <w:rPr>
                <w:rFonts w:ascii="Times New Roman" w:hAnsi="Times New Roman" w:eastAsiaTheme="minorEastAsia"/>
              </w:rPr>
              <w:t>问卷调查</w:t>
            </w:r>
          </w:p>
        </w:tc>
      </w:tr>
    </w:tbl>
    <w:p>
      <w:pPr>
        <w:rPr>
          <w:rFonts w:ascii="仿宋_GB2312" w:eastAsia="仿宋_GB2312" w:cs="Times New Roman"/>
          <w:sz w:val="32"/>
          <w:szCs w:val="32"/>
        </w:rPr>
        <w:sectPr>
          <w:pgSz w:w="11906" w:h="16838"/>
          <w:pgMar w:top="1440" w:right="1800" w:bottom="1440" w:left="1800" w:header="851" w:footer="992" w:gutter="0"/>
          <w:cols w:space="720" w:num="1"/>
          <w:titlePg/>
          <w:docGrid w:type="lines" w:linePitch="312" w:charSpace="0"/>
        </w:sect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六、政府采购预算情况</w:t>
      </w:r>
    </w:p>
    <w:p>
      <w:pPr>
        <w:spacing w:line="584" w:lineRule="exact"/>
        <w:ind w:firstLine="640" w:firstLineChars="200"/>
        <w:outlineLvl w:val="0"/>
        <w:rPr>
          <w:rFonts w:ascii="Times New Roman" w:hAnsi="Times New Roman" w:eastAsia="仿宋_GB2312" w:cs="Times New Roman"/>
          <w:sz w:val="32"/>
          <w:szCs w:val="24"/>
        </w:rPr>
      </w:pPr>
      <w:bookmarkStart w:id="29" w:name="_Toc471398468"/>
      <w:r>
        <w:rPr>
          <w:rFonts w:ascii="Times New Roman" w:hAnsi="Times New Roman" w:eastAsia="仿宋_GB2312" w:cs="Times New Roman"/>
          <w:sz w:val="32"/>
          <w:szCs w:val="24"/>
        </w:rPr>
        <w:t>20</w:t>
      </w:r>
      <w:r>
        <w:rPr>
          <w:rFonts w:hint="eastAsia" w:ascii="Times New Roman" w:hAnsi="Times New Roman" w:eastAsia="仿宋_GB2312" w:cs="Times New Roman"/>
          <w:sz w:val="32"/>
          <w:szCs w:val="24"/>
        </w:rPr>
        <w:t>2</w:t>
      </w:r>
      <w:r>
        <w:rPr>
          <w:rFonts w:ascii="Times New Roman" w:hAnsi="Times New Roman" w:eastAsia="仿宋_GB2312" w:cs="Times New Roman"/>
          <w:sz w:val="32"/>
          <w:szCs w:val="24"/>
        </w:rPr>
        <w:t>2年，我部门安排政府采购预算</w:t>
      </w:r>
      <w:r>
        <w:rPr>
          <w:rFonts w:hint="eastAsia" w:ascii="Times New Roman" w:hAnsi="Times New Roman" w:eastAsia="仿宋_GB2312" w:cs="Times New Roman"/>
          <w:sz w:val="32"/>
          <w:szCs w:val="24"/>
          <w:lang w:val="en-US" w:eastAsia="zh-CN"/>
        </w:rPr>
        <w:t>2130.70</w:t>
      </w:r>
      <w:r>
        <w:rPr>
          <w:rFonts w:ascii="Times New Roman" w:hAnsi="Times New Roman" w:eastAsia="仿宋_GB2312" w:cs="Times New Roman"/>
          <w:sz w:val="32"/>
          <w:szCs w:val="24"/>
        </w:rPr>
        <w:t>万元。具体内容见下表。</w:t>
      </w:r>
    </w:p>
    <w:bookmarkEnd w:id="29"/>
    <w:p>
      <w:pPr>
        <w:jc w:val="center"/>
        <w:outlineLvl w:val="1"/>
        <w:rPr>
          <w:rFonts w:ascii="方正小标宋_GBK" w:eastAsia="方正小标宋_GBK" w:cs="Times New Roman"/>
          <w:sz w:val="32"/>
        </w:rPr>
      </w:pPr>
      <w:bookmarkStart w:id="30" w:name="_Toc64920910"/>
      <w:r>
        <w:rPr>
          <w:rFonts w:hint="eastAsia" w:ascii="方正小标宋_GBK" w:eastAsia="方正小标宋_GBK" w:cs="Times New Roman"/>
          <w:sz w:val="32"/>
        </w:rPr>
        <w:t>部门政府采购预算</w:t>
      </w:r>
      <w:bookmarkEnd w:id="30"/>
    </w:p>
    <w:p>
      <w:pPr>
        <w:ind w:firstLine="210" w:firstLineChars="100"/>
        <w:outlineLvl w:val="1"/>
        <w:rPr>
          <w:rFonts w:hint="eastAsia" w:ascii="方正小标宋_GBK" w:eastAsia="方正小标宋_GBK" w:cs="Times New Roman"/>
          <w:sz w:val="32"/>
        </w:rPr>
      </w:pPr>
      <w:r>
        <w:t>廊坊市</w:t>
      </w:r>
      <w:r>
        <w:rPr>
          <w:rFonts w:hint="eastAsia"/>
          <w:lang w:val="en-US" w:eastAsia="zh-CN"/>
        </w:rPr>
        <w:t>发展和改革委员会</w:t>
      </w:r>
      <w:r>
        <w:t xml:space="preserve">                                                                                                               单位：万元</w:t>
      </w:r>
    </w:p>
    <w:tbl>
      <w:tblPr>
        <w:tblStyle w:val="8"/>
        <w:tblW w:w="1551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661"/>
        <w:gridCol w:w="945"/>
        <w:gridCol w:w="1230"/>
        <w:gridCol w:w="1455"/>
        <w:gridCol w:w="645"/>
        <w:gridCol w:w="600"/>
        <w:gridCol w:w="930"/>
        <w:gridCol w:w="990"/>
        <w:gridCol w:w="1035"/>
        <w:gridCol w:w="795"/>
        <w:gridCol w:w="1020"/>
        <w:gridCol w:w="810"/>
        <w:gridCol w:w="690"/>
        <w:gridCol w:w="810"/>
        <w:gridCol w:w="834"/>
        <w:gridCol w:w="106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3" w:hRule="atLeast"/>
          <w:tblHeader/>
          <w:jc w:val="center"/>
        </w:trPr>
        <w:tc>
          <w:tcPr>
            <w:tcW w:w="2606" w:type="dxa"/>
            <w:gridSpan w:val="2"/>
            <w:vAlign w:val="center"/>
          </w:tcPr>
          <w:p>
            <w:pPr>
              <w:pStyle w:val="12"/>
              <w:rPr>
                <w:sz w:val="18"/>
                <w:szCs w:val="18"/>
              </w:rPr>
            </w:pPr>
            <w:r>
              <w:rPr>
                <w:sz w:val="18"/>
                <w:szCs w:val="18"/>
              </w:rPr>
              <w:t>政府采购项目来源</w:t>
            </w:r>
          </w:p>
        </w:tc>
        <w:tc>
          <w:tcPr>
            <w:tcW w:w="1230" w:type="dxa"/>
            <w:vMerge w:val="restart"/>
            <w:vAlign w:val="center"/>
          </w:tcPr>
          <w:p>
            <w:pPr>
              <w:pStyle w:val="12"/>
              <w:rPr>
                <w:sz w:val="18"/>
                <w:szCs w:val="18"/>
              </w:rPr>
            </w:pPr>
            <w:r>
              <w:rPr>
                <w:sz w:val="18"/>
                <w:szCs w:val="18"/>
              </w:rPr>
              <w:t>采购物品名称</w:t>
            </w:r>
          </w:p>
        </w:tc>
        <w:tc>
          <w:tcPr>
            <w:tcW w:w="1455" w:type="dxa"/>
            <w:vMerge w:val="restart"/>
            <w:vAlign w:val="center"/>
          </w:tcPr>
          <w:p>
            <w:pPr>
              <w:pStyle w:val="12"/>
              <w:rPr>
                <w:sz w:val="18"/>
                <w:szCs w:val="18"/>
              </w:rPr>
            </w:pPr>
            <w:r>
              <w:rPr>
                <w:sz w:val="18"/>
                <w:szCs w:val="18"/>
              </w:rPr>
              <w:t>政府采购目录序号</w:t>
            </w:r>
          </w:p>
        </w:tc>
        <w:tc>
          <w:tcPr>
            <w:tcW w:w="645" w:type="dxa"/>
            <w:vMerge w:val="restart"/>
            <w:vAlign w:val="center"/>
          </w:tcPr>
          <w:p>
            <w:pPr>
              <w:pStyle w:val="12"/>
              <w:rPr>
                <w:sz w:val="18"/>
                <w:szCs w:val="18"/>
              </w:rPr>
            </w:pPr>
            <w:r>
              <w:rPr>
                <w:sz w:val="18"/>
                <w:szCs w:val="18"/>
              </w:rPr>
              <w:t>计量  单位</w:t>
            </w:r>
          </w:p>
        </w:tc>
        <w:tc>
          <w:tcPr>
            <w:tcW w:w="600" w:type="dxa"/>
            <w:vMerge w:val="restart"/>
            <w:vAlign w:val="center"/>
          </w:tcPr>
          <w:p>
            <w:pPr>
              <w:pStyle w:val="12"/>
              <w:rPr>
                <w:sz w:val="18"/>
                <w:szCs w:val="18"/>
              </w:rPr>
            </w:pPr>
            <w:r>
              <w:rPr>
                <w:sz w:val="18"/>
                <w:szCs w:val="18"/>
              </w:rPr>
              <w:t>数量</w:t>
            </w:r>
          </w:p>
        </w:tc>
        <w:tc>
          <w:tcPr>
            <w:tcW w:w="930" w:type="dxa"/>
            <w:vMerge w:val="restart"/>
            <w:vAlign w:val="center"/>
          </w:tcPr>
          <w:p>
            <w:pPr>
              <w:pStyle w:val="12"/>
              <w:rPr>
                <w:sz w:val="18"/>
                <w:szCs w:val="18"/>
              </w:rPr>
            </w:pPr>
            <w:r>
              <w:rPr>
                <w:sz w:val="18"/>
                <w:szCs w:val="18"/>
              </w:rPr>
              <w:t>单价</w:t>
            </w:r>
          </w:p>
        </w:tc>
        <w:tc>
          <w:tcPr>
            <w:tcW w:w="6984" w:type="dxa"/>
            <w:gridSpan w:val="8"/>
            <w:vAlign w:val="center"/>
          </w:tcPr>
          <w:p>
            <w:pPr>
              <w:pStyle w:val="12"/>
              <w:rPr>
                <w:sz w:val="18"/>
                <w:szCs w:val="18"/>
              </w:rPr>
            </w:pPr>
            <w:r>
              <w:rPr>
                <w:sz w:val="18"/>
                <w:szCs w:val="18"/>
              </w:rPr>
              <w:t>政府采购金额（当年部门预算安排资金）</w:t>
            </w:r>
          </w:p>
        </w:tc>
        <w:tc>
          <w:tcPr>
            <w:tcW w:w="1065" w:type="dxa"/>
            <w:vMerge w:val="restart"/>
            <w:vAlign w:val="center"/>
          </w:tcPr>
          <w:p>
            <w:pPr>
              <w:pStyle w:val="12"/>
              <w:rPr>
                <w:sz w:val="18"/>
                <w:szCs w:val="18"/>
              </w:rPr>
            </w:pPr>
            <w:r>
              <w:rPr>
                <w:sz w:val="18"/>
                <w:szCs w:val="18"/>
              </w:rP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1401" w:hRule="atLeast"/>
          <w:tblHeader/>
          <w:jc w:val="center"/>
        </w:trPr>
        <w:tc>
          <w:tcPr>
            <w:tcW w:w="1661" w:type="dxa"/>
            <w:vAlign w:val="center"/>
          </w:tcPr>
          <w:p>
            <w:pPr>
              <w:pStyle w:val="12"/>
              <w:rPr>
                <w:sz w:val="18"/>
                <w:szCs w:val="18"/>
              </w:rPr>
            </w:pPr>
            <w:r>
              <w:rPr>
                <w:sz w:val="18"/>
                <w:szCs w:val="18"/>
              </w:rPr>
              <w:t>项目名称</w:t>
            </w:r>
          </w:p>
        </w:tc>
        <w:tc>
          <w:tcPr>
            <w:tcW w:w="945" w:type="dxa"/>
            <w:vAlign w:val="center"/>
          </w:tcPr>
          <w:p>
            <w:pPr>
              <w:pStyle w:val="12"/>
              <w:rPr>
                <w:sz w:val="18"/>
                <w:szCs w:val="18"/>
              </w:rPr>
            </w:pPr>
            <w:r>
              <w:rPr>
                <w:sz w:val="18"/>
                <w:szCs w:val="18"/>
              </w:rPr>
              <w:t>预算    资金</w:t>
            </w:r>
          </w:p>
        </w:tc>
        <w:tc>
          <w:tcPr>
            <w:tcW w:w="1230" w:type="dxa"/>
            <w:vMerge w:val="continue"/>
          </w:tcPr>
          <w:p>
            <w:pPr>
              <w:rPr>
                <w:sz w:val="18"/>
                <w:szCs w:val="18"/>
              </w:rPr>
            </w:pPr>
          </w:p>
        </w:tc>
        <w:tc>
          <w:tcPr>
            <w:tcW w:w="1455" w:type="dxa"/>
            <w:vMerge w:val="continue"/>
          </w:tcPr>
          <w:p>
            <w:pPr>
              <w:rPr>
                <w:sz w:val="18"/>
                <w:szCs w:val="18"/>
              </w:rPr>
            </w:pPr>
          </w:p>
        </w:tc>
        <w:tc>
          <w:tcPr>
            <w:tcW w:w="645" w:type="dxa"/>
            <w:vMerge w:val="continue"/>
          </w:tcPr>
          <w:p>
            <w:pPr>
              <w:rPr>
                <w:sz w:val="18"/>
                <w:szCs w:val="18"/>
              </w:rPr>
            </w:pPr>
          </w:p>
        </w:tc>
        <w:tc>
          <w:tcPr>
            <w:tcW w:w="600" w:type="dxa"/>
            <w:vMerge w:val="continue"/>
          </w:tcPr>
          <w:p>
            <w:pPr>
              <w:rPr>
                <w:sz w:val="18"/>
                <w:szCs w:val="18"/>
              </w:rPr>
            </w:pPr>
          </w:p>
        </w:tc>
        <w:tc>
          <w:tcPr>
            <w:tcW w:w="930" w:type="dxa"/>
            <w:vMerge w:val="continue"/>
          </w:tcPr>
          <w:p>
            <w:pPr>
              <w:rPr>
                <w:sz w:val="18"/>
                <w:szCs w:val="18"/>
              </w:rPr>
            </w:pPr>
          </w:p>
        </w:tc>
        <w:tc>
          <w:tcPr>
            <w:tcW w:w="990" w:type="dxa"/>
            <w:vAlign w:val="center"/>
          </w:tcPr>
          <w:p>
            <w:pPr>
              <w:pStyle w:val="12"/>
              <w:rPr>
                <w:sz w:val="18"/>
                <w:szCs w:val="18"/>
              </w:rPr>
            </w:pPr>
            <w:r>
              <w:rPr>
                <w:sz w:val="18"/>
                <w:szCs w:val="18"/>
              </w:rPr>
              <w:t>合计</w:t>
            </w:r>
          </w:p>
        </w:tc>
        <w:tc>
          <w:tcPr>
            <w:tcW w:w="1035" w:type="dxa"/>
            <w:vAlign w:val="center"/>
          </w:tcPr>
          <w:p>
            <w:pPr>
              <w:pStyle w:val="12"/>
              <w:rPr>
                <w:sz w:val="18"/>
                <w:szCs w:val="18"/>
              </w:rPr>
            </w:pPr>
            <w:r>
              <w:rPr>
                <w:sz w:val="18"/>
                <w:szCs w:val="18"/>
              </w:rPr>
              <w:t>一般公共预算拨款</w:t>
            </w:r>
          </w:p>
        </w:tc>
        <w:tc>
          <w:tcPr>
            <w:tcW w:w="795" w:type="dxa"/>
            <w:vAlign w:val="center"/>
          </w:tcPr>
          <w:p>
            <w:pPr>
              <w:pStyle w:val="12"/>
              <w:rPr>
                <w:sz w:val="18"/>
                <w:szCs w:val="18"/>
              </w:rPr>
            </w:pPr>
            <w:r>
              <w:rPr>
                <w:sz w:val="18"/>
                <w:szCs w:val="18"/>
              </w:rPr>
              <w:t>基金预算拨款</w:t>
            </w:r>
          </w:p>
        </w:tc>
        <w:tc>
          <w:tcPr>
            <w:tcW w:w="1020" w:type="dxa"/>
            <w:vAlign w:val="center"/>
          </w:tcPr>
          <w:p>
            <w:pPr>
              <w:pStyle w:val="12"/>
              <w:rPr>
                <w:sz w:val="18"/>
                <w:szCs w:val="18"/>
              </w:rPr>
            </w:pPr>
            <w:r>
              <w:rPr>
                <w:sz w:val="18"/>
                <w:szCs w:val="18"/>
              </w:rPr>
              <w:t>国有资本经营预算拨款</w:t>
            </w:r>
          </w:p>
        </w:tc>
        <w:tc>
          <w:tcPr>
            <w:tcW w:w="810" w:type="dxa"/>
            <w:vAlign w:val="center"/>
          </w:tcPr>
          <w:p>
            <w:pPr>
              <w:pStyle w:val="12"/>
              <w:rPr>
                <w:sz w:val="18"/>
                <w:szCs w:val="18"/>
              </w:rPr>
            </w:pPr>
            <w:r>
              <w:rPr>
                <w:sz w:val="18"/>
                <w:szCs w:val="18"/>
              </w:rPr>
              <w:t>财政专户核拨</w:t>
            </w:r>
          </w:p>
        </w:tc>
        <w:tc>
          <w:tcPr>
            <w:tcW w:w="690" w:type="dxa"/>
            <w:vAlign w:val="center"/>
          </w:tcPr>
          <w:p>
            <w:pPr>
              <w:pStyle w:val="12"/>
              <w:rPr>
                <w:sz w:val="18"/>
                <w:szCs w:val="18"/>
              </w:rPr>
            </w:pPr>
            <w:r>
              <w:rPr>
                <w:sz w:val="18"/>
                <w:szCs w:val="18"/>
              </w:rPr>
              <w:t>单位    资金</w:t>
            </w:r>
          </w:p>
        </w:tc>
        <w:tc>
          <w:tcPr>
            <w:tcW w:w="810" w:type="dxa"/>
            <w:vAlign w:val="center"/>
          </w:tcPr>
          <w:p>
            <w:pPr>
              <w:pStyle w:val="12"/>
              <w:rPr>
                <w:sz w:val="18"/>
                <w:szCs w:val="18"/>
              </w:rPr>
            </w:pPr>
            <w:r>
              <w:rPr>
                <w:sz w:val="18"/>
                <w:szCs w:val="18"/>
              </w:rPr>
              <w:t>财政拨    款结转</w:t>
            </w:r>
          </w:p>
        </w:tc>
        <w:tc>
          <w:tcPr>
            <w:tcW w:w="834" w:type="dxa"/>
            <w:vAlign w:val="center"/>
          </w:tcPr>
          <w:p>
            <w:pPr>
              <w:pStyle w:val="12"/>
              <w:rPr>
                <w:sz w:val="18"/>
                <w:szCs w:val="18"/>
              </w:rPr>
            </w:pPr>
            <w:r>
              <w:rPr>
                <w:sz w:val="18"/>
                <w:szCs w:val="18"/>
              </w:rPr>
              <w:t>非财政    拨款结    转结余</w:t>
            </w:r>
          </w:p>
        </w:tc>
        <w:tc>
          <w:tcPr>
            <w:tcW w:w="1065" w:type="dxa"/>
            <w:vMerge w:val="continue"/>
          </w:tcPr>
          <w:p>
            <w:pPr>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37" w:hRule="atLeast"/>
          <w:jc w:val="center"/>
        </w:trPr>
        <w:tc>
          <w:tcPr>
            <w:tcW w:w="1661" w:type="dxa"/>
            <w:vAlign w:val="center"/>
          </w:tcPr>
          <w:p>
            <w:pPr>
              <w:pStyle w:val="16"/>
              <w:rPr>
                <w:sz w:val="18"/>
                <w:szCs w:val="18"/>
              </w:rPr>
            </w:pPr>
            <w:r>
              <w:rPr>
                <w:sz w:val="18"/>
                <w:szCs w:val="18"/>
              </w:rPr>
              <w:t>合  计</w:t>
            </w:r>
          </w:p>
        </w:tc>
        <w:tc>
          <w:tcPr>
            <w:tcW w:w="945" w:type="dxa"/>
            <w:vAlign w:val="center"/>
          </w:tcPr>
          <w:p>
            <w:pPr>
              <w:pStyle w:val="17"/>
              <w:rPr>
                <w:sz w:val="18"/>
                <w:szCs w:val="18"/>
              </w:rPr>
            </w:pPr>
          </w:p>
        </w:tc>
        <w:tc>
          <w:tcPr>
            <w:tcW w:w="1230" w:type="dxa"/>
            <w:vAlign w:val="center"/>
          </w:tcPr>
          <w:p>
            <w:pPr>
              <w:pStyle w:val="17"/>
              <w:rPr>
                <w:sz w:val="18"/>
                <w:szCs w:val="18"/>
              </w:rPr>
            </w:pPr>
          </w:p>
        </w:tc>
        <w:tc>
          <w:tcPr>
            <w:tcW w:w="1455" w:type="dxa"/>
            <w:vAlign w:val="center"/>
          </w:tcPr>
          <w:p>
            <w:pPr>
              <w:pStyle w:val="17"/>
              <w:rPr>
                <w:sz w:val="18"/>
                <w:szCs w:val="18"/>
              </w:rPr>
            </w:pPr>
          </w:p>
        </w:tc>
        <w:tc>
          <w:tcPr>
            <w:tcW w:w="645" w:type="dxa"/>
            <w:vAlign w:val="center"/>
          </w:tcPr>
          <w:p>
            <w:pPr>
              <w:pStyle w:val="17"/>
              <w:rPr>
                <w:sz w:val="18"/>
                <w:szCs w:val="18"/>
              </w:rPr>
            </w:pPr>
          </w:p>
        </w:tc>
        <w:tc>
          <w:tcPr>
            <w:tcW w:w="600" w:type="dxa"/>
            <w:vAlign w:val="center"/>
          </w:tcPr>
          <w:p>
            <w:pPr>
              <w:pStyle w:val="17"/>
              <w:rPr>
                <w:rFonts w:ascii="方正书宋_GBK" w:hAnsi="方正书宋_GBK" w:eastAsia="方正书宋_GBK" w:cs="方正书宋_GBK"/>
                <w:b w:val="0"/>
                <w:kern w:val="0"/>
                <w:sz w:val="18"/>
                <w:szCs w:val="18"/>
                <w:lang w:val="en-US" w:eastAsia="uk-UA" w:bidi="ar-SA"/>
              </w:rPr>
            </w:pPr>
          </w:p>
        </w:tc>
        <w:tc>
          <w:tcPr>
            <w:tcW w:w="930" w:type="dxa"/>
            <w:vAlign w:val="center"/>
          </w:tcPr>
          <w:p>
            <w:pPr>
              <w:pStyle w:val="17"/>
              <w:rPr>
                <w:rFonts w:ascii="方正书宋_GBK" w:hAnsi="方正书宋_GBK" w:eastAsia="方正书宋_GBK" w:cs="方正书宋_GBK"/>
                <w:b w:val="0"/>
                <w:kern w:val="0"/>
                <w:sz w:val="18"/>
                <w:szCs w:val="18"/>
                <w:lang w:val="en-US" w:eastAsia="uk-UA" w:bidi="ar-SA"/>
              </w:rPr>
            </w:pPr>
          </w:p>
        </w:tc>
        <w:tc>
          <w:tcPr>
            <w:tcW w:w="990" w:type="dxa"/>
            <w:vAlign w:val="center"/>
          </w:tcPr>
          <w:p>
            <w:pPr>
              <w:pStyle w:val="17"/>
              <w:rPr>
                <w:rFonts w:ascii="方正书宋_GBK" w:hAnsi="方正书宋_GBK" w:eastAsia="方正书宋_GBK" w:cs="方正书宋_GBK"/>
                <w:b w:val="0"/>
                <w:kern w:val="0"/>
                <w:sz w:val="18"/>
                <w:szCs w:val="18"/>
                <w:lang w:val="en-US" w:eastAsia="uk-UA" w:bidi="ar-SA"/>
              </w:rPr>
            </w:pPr>
            <w:r>
              <w:rPr>
                <w:rFonts w:ascii="方正书宋_GBK" w:hAnsi="方正书宋_GBK" w:eastAsia="方正书宋_GBK" w:cs="方正书宋_GBK"/>
                <w:b w:val="0"/>
                <w:kern w:val="0"/>
                <w:sz w:val="18"/>
                <w:szCs w:val="18"/>
                <w:lang w:val="en-US" w:eastAsia="uk-UA" w:bidi="ar-SA"/>
              </w:rPr>
              <w:t>2130.70</w:t>
            </w:r>
          </w:p>
        </w:tc>
        <w:tc>
          <w:tcPr>
            <w:tcW w:w="1035" w:type="dxa"/>
            <w:vAlign w:val="center"/>
          </w:tcPr>
          <w:p>
            <w:pPr>
              <w:pStyle w:val="17"/>
              <w:rPr>
                <w:rFonts w:ascii="方正书宋_GBK" w:hAnsi="方正书宋_GBK" w:eastAsia="方正书宋_GBK" w:cs="方正书宋_GBK"/>
                <w:b w:val="0"/>
                <w:kern w:val="0"/>
                <w:sz w:val="18"/>
                <w:szCs w:val="18"/>
                <w:lang w:val="en-US" w:eastAsia="uk-UA" w:bidi="ar-SA"/>
              </w:rPr>
            </w:pPr>
            <w:r>
              <w:rPr>
                <w:rFonts w:ascii="方正书宋_GBK" w:hAnsi="方正书宋_GBK" w:eastAsia="方正书宋_GBK" w:cs="方正书宋_GBK"/>
                <w:b w:val="0"/>
                <w:kern w:val="0"/>
                <w:sz w:val="18"/>
                <w:szCs w:val="18"/>
                <w:lang w:val="en-US" w:eastAsia="uk-UA" w:bidi="ar-SA"/>
              </w:rPr>
              <w:t>1563.86</w:t>
            </w:r>
          </w:p>
        </w:tc>
        <w:tc>
          <w:tcPr>
            <w:tcW w:w="795" w:type="dxa"/>
            <w:vAlign w:val="center"/>
          </w:tcPr>
          <w:p>
            <w:pPr>
              <w:pStyle w:val="17"/>
              <w:rPr>
                <w:rFonts w:ascii="方正书宋_GBK" w:hAnsi="方正书宋_GBK" w:eastAsia="方正书宋_GBK" w:cs="方正书宋_GBK"/>
                <w:b w:val="0"/>
                <w:kern w:val="0"/>
                <w:sz w:val="18"/>
                <w:szCs w:val="18"/>
                <w:lang w:val="en-US" w:eastAsia="uk-UA" w:bidi="ar-SA"/>
              </w:rPr>
            </w:pPr>
          </w:p>
        </w:tc>
        <w:tc>
          <w:tcPr>
            <w:tcW w:w="1020" w:type="dxa"/>
            <w:vAlign w:val="center"/>
          </w:tcPr>
          <w:p>
            <w:pPr>
              <w:pStyle w:val="17"/>
              <w:rPr>
                <w:rFonts w:ascii="方正书宋_GBK" w:hAnsi="方正书宋_GBK" w:eastAsia="方正书宋_GBK" w:cs="方正书宋_GBK"/>
                <w:b w:val="0"/>
                <w:kern w:val="0"/>
                <w:sz w:val="18"/>
                <w:szCs w:val="18"/>
                <w:lang w:val="en-US" w:eastAsia="uk-UA" w:bidi="ar-SA"/>
              </w:rPr>
            </w:pPr>
          </w:p>
        </w:tc>
        <w:tc>
          <w:tcPr>
            <w:tcW w:w="810" w:type="dxa"/>
            <w:vAlign w:val="center"/>
          </w:tcPr>
          <w:p>
            <w:pPr>
              <w:pStyle w:val="17"/>
              <w:rPr>
                <w:rFonts w:ascii="方正书宋_GBK" w:hAnsi="方正书宋_GBK" w:eastAsia="方正书宋_GBK" w:cs="方正书宋_GBK"/>
                <w:b w:val="0"/>
                <w:kern w:val="0"/>
                <w:sz w:val="18"/>
                <w:szCs w:val="18"/>
                <w:lang w:val="en-US" w:eastAsia="uk-UA" w:bidi="ar-SA"/>
              </w:rPr>
            </w:pPr>
          </w:p>
        </w:tc>
        <w:tc>
          <w:tcPr>
            <w:tcW w:w="690" w:type="dxa"/>
            <w:vAlign w:val="center"/>
          </w:tcPr>
          <w:p>
            <w:pPr>
              <w:pStyle w:val="17"/>
              <w:rPr>
                <w:rFonts w:ascii="方正书宋_GBK" w:hAnsi="方正书宋_GBK" w:eastAsia="方正书宋_GBK" w:cs="方正书宋_GBK"/>
                <w:b w:val="0"/>
                <w:kern w:val="0"/>
                <w:sz w:val="18"/>
                <w:szCs w:val="18"/>
                <w:lang w:val="en-US" w:eastAsia="uk-UA" w:bidi="ar-SA"/>
              </w:rPr>
            </w:pPr>
          </w:p>
        </w:tc>
        <w:tc>
          <w:tcPr>
            <w:tcW w:w="810" w:type="dxa"/>
            <w:vAlign w:val="center"/>
          </w:tcPr>
          <w:p>
            <w:pPr>
              <w:pStyle w:val="17"/>
              <w:rPr>
                <w:rFonts w:ascii="方正书宋_GBK" w:hAnsi="方正书宋_GBK" w:eastAsia="方正书宋_GBK" w:cs="方正书宋_GBK"/>
                <w:b w:val="0"/>
                <w:kern w:val="0"/>
                <w:sz w:val="18"/>
                <w:szCs w:val="18"/>
                <w:lang w:val="en-US" w:eastAsia="uk-UA" w:bidi="ar-SA"/>
              </w:rPr>
            </w:pPr>
            <w:r>
              <w:rPr>
                <w:rFonts w:ascii="方正书宋_GBK" w:hAnsi="方正书宋_GBK" w:eastAsia="方正书宋_GBK" w:cs="方正书宋_GBK"/>
                <w:b w:val="0"/>
                <w:kern w:val="0"/>
                <w:sz w:val="18"/>
                <w:szCs w:val="18"/>
                <w:lang w:val="en-US" w:eastAsia="uk-UA" w:bidi="ar-SA"/>
              </w:rPr>
              <w:t>566.84</w:t>
            </w:r>
          </w:p>
        </w:tc>
        <w:tc>
          <w:tcPr>
            <w:tcW w:w="834" w:type="dxa"/>
            <w:vAlign w:val="center"/>
          </w:tcPr>
          <w:p>
            <w:pPr>
              <w:pStyle w:val="17"/>
              <w:rPr>
                <w:rFonts w:ascii="方正书宋_GBK" w:hAnsi="方正书宋_GBK" w:eastAsia="方正书宋_GBK" w:cs="方正书宋_GBK"/>
                <w:b w:val="0"/>
                <w:kern w:val="0"/>
                <w:sz w:val="18"/>
                <w:szCs w:val="18"/>
                <w:lang w:val="en-US" w:eastAsia="uk-UA" w:bidi="ar-SA"/>
              </w:rPr>
            </w:pPr>
          </w:p>
        </w:tc>
        <w:tc>
          <w:tcPr>
            <w:tcW w:w="1065" w:type="dxa"/>
            <w:vAlign w:val="center"/>
          </w:tcPr>
          <w:p>
            <w:pPr>
              <w:pStyle w:val="17"/>
              <w:rPr>
                <w:rFonts w:ascii="方正书宋_GBK" w:hAnsi="方正书宋_GBK" w:eastAsia="方正书宋_GBK" w:cs="方正书宋_GBK"/>
                <w:b w:val="0"/>
                <w:kern w:val="0"/>
                <w:sz w:val="18"/>
                <w:szCs w:val="18"/>
                <w:lang w:val="en-US" w:eastAsia="uk-UA" w:bidi="ar-SA"/>
              </w:rPr>
            </w:pPr>
            <w:r>
              <w:rPr>
                <w:rFonts w:ascii="方正书宋_GBK" w:hAnsi="方正书宋_GBK" w:eastAsia="方正书宋_GBK" w:cs="方正书宋_GBK"/>
                <w:b w:val="0"/>
                <w:kern w:val="0"/>
                <w:sz w:val="18"/>
                <w:szCs w:val="18"/>
                <w:lang w:val="en-US" w:eastAsia="uk-UA" w:bidi="ar-SA"/>
              </w:rPr>
              <w:t>1563.86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82" w:hRule="atLeast"/>
          <w:jc w:val="center"/>
        </w:trPr>
        <w:tc>
          <w:tcPr>
            <w:tcW w:w="1661" w:type="dxa"/>
            <w:vAlign w:val="center"/>
          </w:tcPr>
          <w:p>
            <w:pPr>
              <w:pStyle w:val="14"/>
              <w:rPr>
                <w:sz w:val="18"/>
                <w:szCs w:val="18"/>
              </w:rPr>
            </w:pPr>
            <w:r>
              <w:rPr>
                <w:sz w:val="18"/>
                <w:szCs w:val="18"/>
              </w:rPr>
              <w:t>发改委运行经费</w:t>
            </w:r>
          </w:p>
        </w:tc>
        <w:tc>
          <w:tcPr>
            <w:tcW w:w="945" w:type="dxa"/>
            <w:vAlign w:val="center"/>
          </w:tcPr>
          <w:p>
            <w:pPr>
              <w:pStyle w:val="13"/>
              <w:rPr>
                <w:sz w:val="18"/>
                <w:szCs w:val="18"/>
              </w:rPr>
            </w:pPr>
            <w:r>
              <w:rPr>
                <w:sz w:val="18"/>
                <w:szCs w:val="18"/>
              </w:rPr>
              <w:t>285.60</w:t>
            </w:r>
          </w:p>
        </w:tc>
        <w:tc>
          <w:tcPr>
            <w:tcW w:w="1230" w:type="dxa"/>
            <w:vAlign w:val="center"/>
          </w:tcPr>
          <w:p>
            <w:pPr>
              <w:pStyle w:val="14"/>
              <w:rPr>
                <w:sz w:val="18"/>
                <w:szCs w:val="18"/>
              </w:rPr>
            </w:pPr>
            <w:r>
              <w:rPr>
                <w:sz w:val="18"/>
                <w:szCs w:val="18"/>
              </w:rPr>
              <w:t>空调机</w:t>
            </w:r>
          </w:p>
        </w:tc>
        <w:tc>
          <w:tcPr>
            <w:tcW w:w="1455" w:type="dxa"/>
            <w:vAlign w:val="center"/>
          </w:tcPr>
          <w:p>
            <w:pPr>
              <w:pStyle w:val="14"/>
              <w:rPr>
                <w:sz w:val="18"/>
                <w:szCs w:val="18"/>
              </w:rPr>
            </w:pPr>
            <w:r>
              <w:rPr>
                <w:sz w:val="18"/>
                <w:szCs w:val="18"/>
              </w:rPr>
              <w:t>A0206180203</w:t>
            </w:r>
          </w:p>
        </w:tc>
        <w:tc>
          <w:tcPr>
            <w:tcW w:w="645" w:type="dxa"/>
            <w:vAlign w:val="center"/>
          </w:tcPr>
          <w:p>
            <w:pPr>
              <w:pStyle w:val="15"/>
              <w:rPr>
                <w:sz w:val="18"/>
                <w:szCs w:val="18"/>
              </w:rPr>
            </w:pPr>
            <w:r>
              <w:rPr>
                <w:sz w:val="18"/>
                <w:szCs w:val="18"/>
              </w:rPr>
              <w:t>台</w:t>
            </w:r>
          </w:p>
        </w:tc>
        <w:tc>
          <w:tcPr>
            <w:tcW w:w="600" w:type="dxa"/>
            <w:vAlign w:val="center"/>
          </w:tcPr>
          <w:p>
            <w:pPr>
              <w:pStyle w:val="13"/>
              <w:jc w:val="center"/>
              <w:rPr>
                <w:sz w:val="18"/>
                <w:szCs w:val="18"/>
              </w:rPr>
            </w:pPr>
            <w:r>
              <w:rPr>
                <w:sz w:val="18"/>
                <w:szCs w:val="18"/>
              </w:rPr>
              <w:t>10</w:t>
            </w:r>
          </w:p>
        </w:tc>
        <w:tc>
          <w:tcPr>
            <w:tcW w:w="930" w:type="dxa"/>
            <w:vAlign w:val="center"/>
          </w:tcPr>
          <w:p>
            <w:pPr>
              <w:pStyle w:val="13"/>
              <w:jc w:val="center"/>
              <w:rPr>
                <w:sz w:val="18"/>
                <w:szCs w:val="18"/>
              </w:rPr>
            </w:pPr>
            <w:r>
              <w:rPr>
                <w:sz w:val="18"/>
                <w:szCs w:val="18"/>
              </w:rPr>
              <w:t>0.30</w:t>
            </w:r>
          </w:p>
        </w:tc>
        <w:tc>
          <w:tcPr>
            <w:tcW w:w="990" w:type="dxa"/>
            <w:vAlign w:val="center"/>
          </w:tcPr>
          <w:p>
            <w:pPr>
              <w:pStyle w:val="13"/>
              <w:rPr>
                <w:sz w:val="18"/>
                <w:szCs w:val="18"/>
              </w:rPr>
            </w:pPr>
            <w:r>
              <w:rPr>
                <w:sz w:val="18"/>
                <w:szCs w:val="18"/>
              </w:rPr>
              <w:t>3.00</w:t>
            </w:r>
          </w:p>
        </w:tc>
        <w:tc>
          <w:tcPr>
            <w:tcW w:w="1035" w:type="dxa"/>
            <w:vAlign w:val="center"/>
          </w:tcPr>
          <w:p>
            <w:pPr>
              <w:pStyle w:val="13"/>
              <w:rPr>
                <w:sz w:val="18"/>
                <w:szCs w:val="18"/>
              </w:rPr>
            </w:pPr>
            <w:r>
              <w:rPr>
                <w:sz w:val="18"/>
                <w:szCs w:val="18"/>
              </w:rPr>
              <w:t>3.00</w:t>
            </w:r>
          </w:p>
        </w:tc>
        <w:tc>
          <w:tcPr>
            <w:tcW w:w="795" w:type="dxa"/>
            <w:vAlign w:val="center"/>
          </w:tcPr>
          <w:p>
            <w:pPr>
              <w:pStyle w:val="13"/>
              <w:rPr>
                <w:sz w:val="18"/>
                <w:szCs w:val="18"/>
              </w:rPr>
            </w:pPr>
          </w:p>
        </w:tc>
        <w:tc>
          <w:tcPr>
            <w:tcW w:w="1020" w:type="dxa"/>
            <w:vAlign w:val="center"/>
          </w:tcPr>
          <w:p>
            <w:pPr>
              <w:pStyle w:val="13"/>
              <w:rPr>
                <w:sz w:val="18"/>
                <w:szCs w:val="18"/>
              </w:rPr>
            </w:pPr>
          </w:p>
        </w:tc>
        <w:tc>
          <w:tcPr>
            <w:tcW w:w="810" w:type="dxa"/>
            <w:vAlign w:val="center"/>
          </w:tcPr>
          <w:p>
            <w:pPr>
              <w:pStyle w:val="13"/>
              <w:rPr>
                <w:sz w:val="18"/>
                <w:szCs w:val="18"/>
              </w:rPr>
            </w:pPr>
          </w:p>
        </w:tc>
        <w:tc>
          <w:tcPr>
            <w:tcW w:w="690" w:type="dxa"/>
            <w:vAlign w:val="center"/>
          </w:tcPr>
          <w:p>
            <w:pPr>
              <w:pStyle w:val="13"/>
              <w:rPr>
                <w:sz w:val="18"/>
                <w:szCs w:val="18"/>
              </w:rPr>
            </w:pPr>
          </w:p>
        </w:tc>
        <w:tc>
          <w:tcPr>
            <w:tcW w:w="810" w:type="dxa"/>
            <w:vAlign w:val="center"/>
          </w:tcPr>
          <w:p>
            <w:pPr>
              <w:pStyle w:val="13"/>
              <w:rPr>
                <w:sz w:val="18"/>
                <w:szCs w:val="18"/>
              </w:rPr>
            </w:pPr>
          </w:p>
        </w:tc>
        <w:tc>
          <w:tcPr>
            <w:tcW w:w="834" w:type="dxa"/>
            <w:vAlign w:val="center"/>
          </w:tcPr>
          <w:p>
            <w:pPr>
              <w:pStyle w:val="13"/>
              <w:rPr>
                <w:sz w:val="18"/>
                <w:szCs w:val="18"/>
              </w:rPr>
            </w:pPr>
          </w:p>
        </w:tc>
        <w:tc>
          <w:tcPr>
            <w:tcW w:w="1065" w:type="dxa"/>
            <w:vAlign w:val="center"/>
          </w:tcPr>
          <w:p>
            <w:pPr>
              <w:pStyle w:val="13"/>
              <w:rPr>
                <w:sz w:val="18"/>
                <w:szCs w:val="18"/>
              </w:rPr>
            </w:pPr>
            <w:r>
              <w:rPr>
                <w:sz w:val="18"/>
                <w:szCs w:val="18"/>
              </w:rPr>
              <w:t>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67" w:hRule="atLeast"/>
          <w:jc w:val="center"/>
        </w:trPr>
        <w:tc>
          <w:tcPr>
            <w:tcW w:w="1661" w:type="dxa"/>
            <w:vAlign w:val="center"/>
          </w:tcPr>
          <w:p>
            <w:pPr>
              <w:pStyle w:val="14"/>
              <w:rPr>
                <w:sz w:val="18"/>
                <w:szCs w:val="18"/>
              </w:rPr>
            </w:pPr>
            <w:r>
              <w:rPr>
                <w:sz w:val="18"/>
                <w:szCs w:val="18"/>
              </w:rPr>
              <w:t>发改委运行经费</w:t>
            </w:r>
          </w:p>
        </w:tc>
        <w:tc>
          <w:tcPr>
            <w:tcW w:w="945" w:type="dxa"/>
            <w:vAlign w:val="center"/>
          </w:tcPr>
          <w:p>
            <w:pPr>
              <w:pStyle w:val="13"/>
              <w:rPr>
                <w:sz w:val="18"/>
                <w:szCs w:val="18"/>
              </w:rPr>
            </w:pPr>
            <w:r>
              <w:rPr>
                <w:sz w:val="18"/>
                <w:szCs w:val="18"/>
              </w:rPr>
              <w:t>285.60</w:t>
            </w:r>
          </w:p>
        </w:tc>
        <w:tc>
          <w:tcPr>
            <w:tcW w:w="1230" w:type="dxa"/>
            <w:vAlign w:val="center"/>
          </w:tcPr>
          <w:p>
            <w:pPr>
              <w:pStyle w:val="14"/>
              <w:rPr>
                <w:sz w:val="18"/>
                <w:szCs w:val="18"/>
              </w:rPr>
            </w:pPr>
            <w:r>
              <w:rPr>
                <w:sz w:val="18"/>
                <w:szCs w:val="18"/>
              </w:rPr>
              <w:t>物业管理服务</w:t>
            </w:r>
          </w:p>
        </w:tc>
        <w:tc>
          <w:tcPr>
            <w:tcW w:w="1455" w:type="dxa"/>
            <w:vAlign w:val="center"/>
          </w:tcPr>
          <w:p>
            <w:pPr>
              <w:pStyle w:val="14"/>
              <w:rPr>
                <w:sz w:val="18"/>
                <w:szCs w:val="18"/>
              </w:rPr>
            </w:pPr>
            <w:r>
              <w:rPr>
                <w:sz w:val="18"/>
                <w:szCs w:val="18"/>
              </w:rPr>
              <w:t>C1204</w:t>
            </w:r>
          </w:p>
        </w:tc>
        <w:tc>
          <w:tcPr>
            <w:tcW w:w="645" w:type="dxa"/>
            <w:vAlign w:val="center"/>
          </w:tcPr>
          <w:p>
            <w:pPr>
              <w:pStyle w:val="15"/>
              <w:rPr>
                <w:sz w:val="18"/>
                <w:szCs w:val="18"/>
              </w:rPr>
            </w:pPr>
            <w:r>
              <w:rPr>
                <w:sz w:val="18"/>
                <w:szCs w:val="18"/>
              </w:rPr>
              <w:t>项</w:t>
            </w:r>
          </w:p>
        </w:tc>
        <w:tc>
          <w:tcPr>
            <w:tcW w:w="600" w:type="dxa"/>
            <w:vAlign w:val="center"/>
          </w:tcPr>
          <w:p>
            <w:pPr>
              <w:pStyle w:val="13"/>
              <w:jc w:val="center"/>
              <w:rPr>
                <w:sz w:val="18"/>
                <w:szCs w:val="18"/>
              </w:rPr>
            </w:pPr>
            <w:r>
              <w:rPr>
                <w:sz w:val="18"/>
                <w:szCs w:val="18"/>
              </w:rPr>
              <w:t>1</w:t>
            </w:r>
          </w:p>
        </w:tc>
        <w:tc>
          <w:tcPr>
            <w:tcW w:w="930" w:type="dxa"/>
            <w:vAlign w:val="center"/>
          </w:tcPr>
          <w:p>
            <w:pPr>
              <w:pStyle w:val="13"/>
              <w:jc w:val="center"/>
              <w:rPr>
                <w:sz w:val="18"/>
                <w:szCs w:val="18"/>
              </w:rPr>
            </w:pPr>
            <w:r>
              <w:rPr>
                <w:sz w:val="18"/>
                <w:szCs w:val="18"/>
              </w:rPr>
              <w:t>230.00</w:t>
            </w:r>
          </w:p>
        </w:tc>
        <w:tc>
          <w:tcPr>
            <w:tcW w:w="990" w:type="dxa"/>
            <w:vAlign w:val="center"/>
          </w:tcPr>
          <w:p>
            <w:pPr>
              <w:pStyle w:val="13"/>
              <w:rPr>
                <w:sz w:val="18"/>
                <w:szCs w:val="18"/>
              </w:rPr>
            </w:pPr>
            <w:r>
              <w:rPr>
                <w:sz w:val="18"/>
                <w:szCs w:val="18"/>
              </w:rPr>
              <w:t>230.00</w:t>
            </w:r>
          </w:p>
        </w:tc>
        <w:tc>
          <w:tcPr>
            <w:tcW w:w="1035" w:type="dxa"/>
            <w:vAlign w:val="center"/>
          </w:tcPr>
          <w:p>
            <w:pPr>
              <w:pStyle w:val="13"/>
              <w:rPr>
                <w:sz w:val="18"/>
                <w:szCs w:val="18"/>
              </w:rPr>
            </w:pPr>
            <w:r>
              <w:rPr>
                <w:sz w:val="18"/>
                <w:szCs w:val="18"/>
              </w:rPr>
              <w:t>230.00</w:t>
            </w:r>
          </w:p>
        </w:tc>
        <w:tc>
          <w:tcPr>
            <w:tcW w:w="795" w:type="dxa"/>
            <w:vAlign w:val="center"/>
          </w:tcPr>
          <w:p>
            <w:pPr>
              <w:pStyle w:val="13"/>
              <w:rPr>
                <w:sz w:val="18"/>
                <w:szCs w:val="18"/>
              </w:rPr>
            </w:pPr>
          </w:p>
        </w:tc>
        <w:tc>
          <w:tcPr>
            <w:tcW w:w="1020" w:type="dxa"/>
            <w:vAlign w:val="center"/>
          </w:tcPr>
          <w:p>
            <w:pPr>
              <w:pStyle w:val="13"/>
              <w:rPr>
                <w:sz w:val="18"/>
                <w:szCs w:val="18"/>
              </w:rPr>
            </w:pPr>
          </w:p>
        </w:tc>
        <w:tc>
          <w:tcPr>
            <w:tcW w:w="810" w:type="dxa"/>
            <w:vAlign w:val="center"/>
          </w:tcPr>
          <w:p>
            <w:pPr>
              <w:pStyle w:val="13"/>
              <w:rPr>
                <w:sz w:val="18"/>
                <w:szCs w:val="18"/>
              </w:rPr>
            </w:pPr>
          </w:p>
        </w:tc>
        <w:tc>
          <w:tcPr>
            <w:tcW w:w="690" w:type="dxa"/>
            <w:vAlign w:val="center"/>
          </w:tcPr>
          <w:p>
            <w:pPr>
              <w:pStyle w:val="13"/>
              <w:rPr>
                <w:sz w:val="18"/>
                <w:szCs w:val="18"/>
              </w:rPr>
            </w:pPr>
          </w:p>
        </w:tc>
        <w:tc>
          <w:tcPr>
            <w:tcW w:w="810" w:type="dxa"/>
            <w:vAlign w:val="center"/>
          </w:tcPr>
          <w:p>
            <w:pPr>
              <w:pStyle w:val="13"/>
              <w:rPr>
                <w:sz w:val="18"/>
                <w:szCs w:val="18"/>
              </w:rPr>
            </w:pPr>
          </w:p>
        </w:tc>
        <w:tc>
          <w:tcPr>
            <w:tcW w:w="834" w:type="dxa"/>
            <w:vAlign w:val="center"/>
          </w:tcPr>
          <w:p>
            <w:pPr>
              <w:pStyle w:val="13"/>
              <w:rPr>
                <w:sz w:val="18"/>
                <w:szCs w:val="18"/>
              </w:rPr>
            </w:pPr>
          </w:p>
        </w:tc>
        <w:tc>
          <w:tcPr>
            <w:tcW w:w="1065" w:type="dxa"/>
            <w:vAlign w:val="center"/>
          </w:tcPr>
          <w:p>
            <w:pPr>
              <w:pStyle w:val="13"/>
              <w:rPr>
                <w:sz w:val="18"/>
                <w:szCs w:val="18"/>
              </w:rPr>
            </w:pPr>
            <w:r>
              <w:rPr>
                <w:sz w:val="18"/>
                <w:szCs w:val="18"/>
              </w:rPr>
              <w:t>230.00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661" w:type="dxa"/>
            <w:vAlign w:val="center"/>
          </w:tcPr>
          <w:p>
            <w:pPr>
              <w:pStyle w:val="14"/>
              <w:rPr>
                <w:sz w:val="18"/>
                <w:szCs w:val="18"/>
              </w:rPr>
            </w:pPr>
            <w:r>
              <w:rPr>
                <w:sz w:val="18"/>
                <w:szCs w:val="18"/>
              </w:rPr>
              <w:t>救灾物资购置经费</w:t>
            </w:r>
          </w:p>
        </w:tc>
        <w:tc>
          <w:tcPr>
            <w:tcW w:w="945" w:type="dxa"/>
            <w:vAlign w:val="center"/>
          </w:tcPr>
          <w:p>
            <w:pPr>
              <w:pStyle w:val="13"/>
              <w:jc w:val="both"/>
              <w:rPr>
                <w:sz w:val="18"/>
                <w:szCs w:val="18"/>
              </w:rPr>
            </w:pPr>
            <w:r>
              <w:rPr>
                <w:sz w:val="18"/>
                <w:szCs w:val="18"/>
              </w:rPr>
              <w:t>1130.</w:t>
            </w:r>
            <w:r>
              <w:rPr>
                <w:rFonts w:hint="eastAsia"/>
                <w:sz w:val="18"/>
                <w:szCs w:val="18"/>
                <w:lang w:val="en-US" w:eastAsia="zh-CN"/>
              </w:rPr>
              <w:t>8</w:t>
            </w:r>
            <w:r>
              <w:rPr>
                <w:sz w:val="18"/>
                <w:szCs w:val="18"/>
              </w:rPr>
              <w:t>6</w:t>
            </w:r>
          </w:p>
        </w:tc>
        <w:tc>
          <w:tcPr>
            <w:tcW w:w="1230" w:type="dxa"/>
            <w:vAlign w:val="center"/>
          </w:tcPr>
          <w:p>
            <w:pPr>
              <w:pStyle w:val="14"/>
              <w:rPr>
                <w:sz w:val="18"/>
                <w:szCs w:val="18"/>
              </w:rPr>
            </w:pPr>
            <w:r>
              <w:rPr>
                <w:sz w:val="18"/>
                <w:szCs w:val="18"/>
              </w:rPr>
              <w:t>其他家具用具</w:t>
            </w:r>
          </w:p>
        </w:tc>
        <w:tc>
          <w:tcPr>
            <w:tcW w:w="1455" w:type="dxa"/>
            <w:vAlign w:val="center"/>
          </w:tcPr>
          <w:p>
            <w:pPr>
              <w:pStyle w:val="14"/>
              <w:rPr>
                <w:sz w:val="18"/>
                <w:szCs w:val="18"/>
              </w:rPr>
            </w:pPr>
            <w:r>
              <w:rPr>
                <w:sz w:val="18"/>
                <w:szCs w:val="18"/>
              </w:rPr>
              <w:t>A0699</w:t>
            </w:r>
          </w:p>
        </w:tc>
        <w:tc>
          <w:tcPr>
            <w:tcW w:w="645" w:type="dxa"/>
            <w:vAlign w:val="center"/>
          </w:tcPr>
          <w:p>
            <w:pPr>
              <w:pStyle w:val="15"/>
              <w:rPr>
                <w:sz w:val="18"/>
                <w:szCs w:val="18"/>
              </w:rPr>
            </w:pPr>
            <w:r>
              <w:rPr>
                <w:sz w:val="18"/>
                <w:szCs w:val="18"/>
              </w:rPr>
              <w:t>项</w:t>
            </w:r>
          </w:p>
        </w:tc>
        <w:tc>
          <w:tcPr>
            <w:tcW w:w="600" w:type="dxa"/>
            <w:vAlign w:val="center"/>
          </w:tcPr>
          <w:p>
            <w:pPr>
              <w:pStyle w:val="13"/>
              <w:jc w:val="center"/>
              <w:rPr>
                <w:sz w:val="18"/>
                <w:szCs w:val="18"/>
              </w:rPr>
            </w:pPr>
            <w:r>
              <w:rPr>
                <w:sz w:val="18"/>
                <w:szCs w:val="18"/>
              </w:rPr>
              <w:t>1</w:t>
            </w:r>
          </w:p>
        </w:tc>
        <w:tc>
          <w:tcPr>
            <w:tcW w:w="930" w:type="dxa"/>
            <w:vAlign w:val="center"/>
          </w:tcPr>
          <w:p>
            <w:pPr>
              <w:pStyle w:val="13"/>
              <w:jc w:val="center"/>
              <w:rPr>
                <w:sz w:val="18"/>
                <w:szCs w:val="18"/>
              </w:rPr>
            </w:pPr>
            <w:r>
              <w:rPr>
                <w:sz w:val="18"/>
                <w:szCs w:val="18"/>
              </w:rPr>
              <w:t>1130.86</w:t>
            </w:r>
          </w:p>
        </w:tc>
        <w:tc>
          <w:tcPr>
            <w:tcW w:w="990" w:type="dxa"/>
            <w:vAlign w:val="center"/>
          </w:tcPr>
          <w:p>
            <w:pPr>
              <w:pStyle w:val="13"/>
              <w:rPr>
                <w:sz w:val="18"/>
                <w:szCs w:val="18"/>
              </w:rPr>
            </w:pPr>
            <w:r>
              <w:rPr>
                <w:sz w:val="18"/>
                <w:szCs w:val="18"/>
              </w:rPr>
              <w:t>1130.86</w:t>
            </w:r>
          </w:p>
        </w:tc>
        <w:tc>
          <w:tcPr>
            <w:tcW w:w="1035" w:type="dxa"/>
            <w:vAlign w:val="center"/>
          </w:tcPr>
          <w:p>
            <w:pPr>
              <w:pStyle w:val="13"/>
              <w:rPr>
                <w:sz w:val="18"/>
                <w:szCs w:val="18"/>
              </w:rPr>
            </w:pPr>
            <w:r>
              <w:rPr>
                <w:sz w:val="18"/>
                <w:szCs w:val="18"/>
              </w:rPr>
              <w:t>1130.86</w:t>
            </w:r>
          </w:p>
        </w:tc>
        <w:tc>
          <w:tcPr>
            <w:tcW w:w="795" w:type="dxa"/>
            <w:vAlign w:val="center"/>
          </w:tcPr>
          <w:p>
            <w:pPr>
              <w:pStyle w:val="13"/>
              <w:rPr>
                <w:sz w:val="18"/>
                <w:szCs w:val="18"/>
              </w:rPr>
            </w:pPr>
          </w:p>
        </w:tc>
        <w:tc>
          <w:tcPr>
            <w:tcW w:w="1020" w:type="dxa"/>
            <w:vAlign w:val="center"/>
          </w:tcPr>
          <w:p>
            <w:pPr>
              <w:pStyle w:val="13"/>
              <w:rPr>
                <w:sz w:val="18"/>
                <w:szCs w:val="18"/>
              </w:rPr>
            </w:pPr>
          </w:p>
        </w:tc>
        <w:tc>
          <w:tcPr>
            <w:tcW w:w="810" w:type="dxa"/>
            <w:vAlign w:val="center"/>
          </w:tcPr>
          <w:p>
            <w:pPr>
              <w:pStyle w:val="13"/>
              <w:rPr>
                <w:sz w:val="18"/>
                <w:szCs w:val="18"/>
              </w:rPr>
            </w:pPr>
          </w:p>
        </w:tc>
        <w:tc>
          <w:tcPr>
            <w:tcW w:w="690" w:type="dxa"/>
            <w:vAlign w:val="center"/>
          </w:tcPr>
          <w:p>
            <w:pPr>
              <w:pStyle w:val="13"/>
              <w:rPr>
                <w:sz w:val="18"/>
                <w:szCs w:val="18"/>
              </w:rPr>
            </w:pPr>
          </w:p>
        </w:tc>
        <w:tc>
          <w:tcPr>
            <w:tcW w:w="810" w:type="dxa"/>
            <w:vAlign w:val="center"/>
          </w:tcPr>
          <w:p>
            <w:pPr>
              <w:pStyle w:val="13"/>
              <w:rPr>
                <w:sz w:val="18"/>
                <w:szCs w:val="18"/>
              </w:rPr>
            </w:pPr>
          </w:p>
        </w:tc>
        <w:tc>
          <w:tcPr>
            <w:tcW w:w="834" w:type="dxa"/>
            <w:vAlign w:val="center"/>
          </w:tcPr>
          <w:p>
            <w:pPr>
              <w:pStyle w:val="13"/>
              <w:rPr>
                <w:sz w:val="18"/>
                <w:szCs w:val="18"/>
              </w:rPr>
            </w:pPr>
          </w:p>
        </w:tc>
        <w:tc>
          <w:tcPr>
            <w:tcW w:w="1065" w:type="dxa"/>
            <w:vAlign w:val="center"/>
          </w:tcPr>
          <w:p>
            <w:pPr>
              <w:pStyle w:val="13"/>
              <w:rPr>
                <w:sz w:val="18"/>
                <w:szCs w:val="18"/>
              </w:rPr>
            </w:pPr>
            <w:r>
              <w:rPr>
                <w:sz w:val="18"/>
                <w:szCs w:val="18"/>
              </w:rPr>
              <w:t>1130.86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661" w:type="dxa"/>
            <w:vAlign w:val="center"/>
          </w:tcPr>
          <w:p>
            <w:pPr>
              <w:pStyle w:val="14"/>
              <w:rPr>
                <w:sz w:val="18"/>
                <w:szCs w:val="18"/>
              </w:rPr>
            </w:pPr>
            <w:r>
              <w:rPr>
                <w:sz w:val="18"/>
                <w:szCs w:val="18"/>
              </w:rPr>
              <w:t>政府投资项目评估论证经费</w:t>
            </w:r>
          </w:p>
        </w:tc>
        <w:tc>
          <w:tcPr>
            <w:tcW w:w="945" w:type="dxa"/>
            <w:vAlign w:val="center"/>
          </w:tcPr>
          <w:p>
            <w:pPr>
              <w:pStyle w:val="13"/>
              <w:rPr>
                <w:sz w:val="18"/>
                <w:szCs w:val="18"/>
              </w:rPr>
            </w:pPr>
            <w:r>
              <w:rPr>
                <w:sz w:val="18"/>
                <w:szCs w:val="18"/>
              </w:rPr>
              <w:t>200.00</w:t>
            </w:r>
          </w:p>
        </w:tc>
        <w:tc>
          <w:tcPr>
            <w:tcW w:w="1230" w:type="dxa"/>
            <w:vAlign w:val="center"/>
          </w:tcPr>
          <w:p>
            <w:pPr>
              <w:pStyle w:val="14"/>
              <w:rPr>
                <w:sz w:val="18"/>
                <w:szCs w:val="18"/>
              </w:rPr>
            </w:pPr>
            <w:r>
              <w:rPr>
                <w:sz w:val="18"/>
                <w:szCs w:val="18"/>
              </w:rPr>
              <w:t>其他服务</w:t>
            </w:r>
          </w:p>
        </w:tc>
        <w:tc>
          <w:tcPr>
            <w:tcW w:w="1455" w:type="dxa"/>
            <w:vAlign w:val="center"/>
          </w:tcPr>
          <w:p>
            <w:pPr>
              <w:pStyle w:val="14"/>
              <w:rPr>
                <w:sz w:val="18"/>
                <w:szCs w:val="18"/>
              </w:rPr>
            </w:pPr>
            <w:r>
              <w:rPr>
                <w:sz w:val="18"/>
                <w:szCs w:val="18"/>
              </w:rPr>
              <w:t>C99</w:t>
            </w:r>
          </w:p>
        </w:tc>
        <w:tc>
          <w:tcPr>
            <w:tcW w:w="645" w:type="dxa"/>
            <w:vAlign w:val="center"/>
          </w:tcPr>
          <w:p>
            <w:pPr>
              <w:pStyle w:val="15"/>
              <w:rPr>
                <w:sz w:val="18"/>
                <w:szCs w:val="18"/>
              </w:rPr>
            </w:pPr>
            <w:r>
              <w:rPr>
                <w:sz w:val="18"/>
                <w:szCs w:val="18"/>
              </w:rPr>
              <w:t>项</w:t>
            </w:r>
          </w:p>
        </w:tc>
        <w:tc>
          <w:tcPr>
            <w:tcW w:w="600" w:type="dxa"/>
            <w:vAlign w:val="center"/>
          </w:tcPr>
          <w:p>
            <w:pPr>
              <w:pStyle w:val="13"/>
              <w:jc w:val="center"/>
              <w:rPr>
                <w:sz w:val="18"/>
                <w:szCs w:val="18"/>
              </w:rPr>
            </w:pPr>
            <w:r>
              <w:rPr>
                <w:sz w:val="18"/>
                <w:szCs w:val="18"/>
              </w:rPr>
              <w:t>1</w:t>
            </w:r>
          </w:p>
        </w:tc>
        <w:tc>
          <w:tcPr>
            <w:tcW w:w="930" w:type="dxa"/>
            <w:vAlign w:val="center"/>
          </w:tcPr>
          <w:p>
            <w:pPr>
              <w:pStyle w:val="13"/>
              <w:jc w:val="center"/>
              <w:rPr>
                <w:sz w:val="18"/>
                <w:szCs w:val="18"/>
              </w:rPr>
            </w:pPr>
            <w:r>
              <w:rPr>
                <w:sz w:val="18"/>
                <w:szCs w:val="18"/>
              </w:rPr>
              <w:t>200.00</w:t>
            </w:r>
          </w:p>
        </w:tc>
        <w:tc>
          <w:tcPr>
            <w:tcW w:w="990" w:type="dxa"/>
            <w:vAlign w:val="center"/>
          </w:tcPr>
          <w:p>
            <w:pPr>
              <w:pStyle w:val="13"/>
              <w:rPr>
                <w:sz w:val="18"/>
                <w:szCs w:val="18"/>
              </w:rPr>
            </w:pPr>
            <w:r>
              <w:rPr>
                <w:sz w:val="18"/>
                <w:szCs w:val="18"/>
              </w:rPr>
              <w:t>200.00</w:t>
            </w:r>
          </w:p>
        </w:tc>
        <w:tc>
          <w:tcPr>
            <w:tcW w:w="1035" w:type="dxa"/>
            <w:vAlign w:val="center"/>
          </w:tcPr>
          <w:p>
            <w:pPr>
              <w:pStyle w:val="13"/>
              <w:rPr>
                <w:sz w:val="18"/>
                <w:szCs w:val="18"/>
              </w:rPr>
            </w:pPr>
            <w:r>
              <w:rPr>
                <w:sz w:val="18"/>
                <w:szCs w:val="18"/>
              </w:rPr>
              <w:t>200.00</w:t>
            </w:r>
          </w:p>
        </w:tc>
        <w:tc>
          <w:tcPr>
            <w:tcW w:w="795" w:type="dxa"/>
            <w:vAlign w:val="center"/>
          </w:tcPr>
          <w:p>
            <w:pPr>
              <w:pStyle w:val="13"/>
              <w:rPr>
                <w:sz w:val="18"/>
                <w:szCs w:val="18"/>
              </w:rPr>
            </w:pPr>
          </w:p>
        </w:tc>
        <w:tc>
          <w:tcPr>
            <w:tcW w:w="1020" w:type="dxa"/>
            <w:vAlign w:val="center"/>
          </w:tcPr>
          <w:p>
            <w:pPr>
              <w:pStyle w:val="13"/>
              <w:rPr>
                <w:sz w:val="18"/>
                <w:szCs w:val="18"/>
              </w:rPr>
            </w:pPr>
          </w:p>
        </w:tc>
        <w:tc>
          <w:tcPr>
            <w:tcW w:w="810" w:type="dxa"/>
            <w:vAlign w:val="center"/>
          </w:tcPr>
          <w:p>
            <w:pPr>
              <w:pStyle w:val="13"/>
              <w:rPr>
                <w:sz w:val="18"/>
                <w:szCs w:val="18"/>
              </w:rPr>
            </w:pPr>
          </w:p>
        </w:tc>
        <w:tc>
          <w:tcPr>
            <w:tcW w:w="690" w:type="dxa"/>
            <w:vAlign w:val="center"/>
          </w:tcPr>
          <w:p>
            <w:pPr>
              <w:pStyle w:val="13"/>
              <w:rPr>
                <w:sz w:val="18"/>
                <w:szCs w:val="18"/>
              </w:rPr>
            </w:pPr>
          </w:p>
        </w:tc>
        <w:tc>
          <w:tcPr>
            <w:tcW w:w="810" w:type="dxa"/>
            <w:vAlign w:val="center"/>
          </w:tcPr>
          <w:p>
            <w:pPr>
              <w:pStyle w:val="13"/>
              <w:rPr>
                <w:sz w:val="18"/>
                <w:szCs w:val="18"/>
              </w:rPr>
            </w:pPr>
          </w:p>
        </w:tc>
        <w:tc>
          <w:tcPr>
            <w:tcW w:w="834" w:type="dxa"/>
            <w:vAlign w:val="center"/>
          </w:tcPr>
          <w:p>
            <w:pPr>
              <w:pStyle w:val="13"/>
              <w:rPr>
                <w:sz w:val="18"/>
                <w:szCs w:val="18"/>
              </w:rPr>
            </w:pPr>
          </w:p>
        </w:tc>
        <w:tc>
          <w:tcPr>
            <w:tcW w:w="1065" w:type="dxa"/>
            <w:vAlign w:val="center"/>
          </w:tcPr>
          <w:p>
            <w:pPr>
              <w:pStyle w:val="13"/>
              <w:rPr>
                <w:sz w:val="18"/>
                <w:szCs w:val="18"/>
              </w:rPr>
            </w:pPr>
            <w:r>
              <w:rPr>
                <w:sz w:val="18"/>
                <w:szCs w:val="18"/>
              </w:rPr>
              <w:t>200.00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67" w:hRule="atLeast"/>
          <w:jc w:val="center"/>
        </w:trPr>
        <w:tc>
          <w:tcPr>
            <w:tcW w:w="1661" w:type="dxa"/>
            <w:vAlign w:val="center"/>
          </w:tcPr>
          <w:p>
            <w:pPr>
              <w:pStyle w:val="14"/>
              <w:rPr>
                <w:sz w:val="18"/>
                <w:szCs w:val="18"/>
              </w:rPr>
            </w:pPr>
            <w:r>
              <w:rPr>
                <w:sz w:val="18"/>
                <w:szCs w:val="18"/>
              </w:rPr>
              <w:t>救灾物资购置经费</w:t>
            </w:r>
          </w:p>
        </w:tc>
        <w:tc>
          <w:tcPr>
            <w:tcW w:w="945" w:type="dxa"/>
            <w:vAlign w:val="center"/>
          </w:tcPr>
          <w:p>
            <w:pPr>
              <w:pStyle w:val="13"/>
              <w:rPr>
                <w:sz w:val="18"/>
                <w:szCs w:val="18"/>
              </w:rPr>
            </w:pPr>
            <w:r>
              <w:rPr>
                <w:sz w:val="18"/>
                <w:szCs w:val="18"/>
              </w:rPr>
              <w:t>358.19</w:t>
            </w:r>
          </w:p>
        </w:tc>
        <w:tc>
          <w:tcPr>
            <w:tcW w:w="1230" w:type="dxa"/>
            <w:vAlign w:val="center"/>
          </w:tcPr>
          <w:p>
            <w:pPr>
              <w:pStyle w:val="14"/>
              <w:rPr>
                <w:sz w:val="18"/>
                <w:szCs w:val="18"/>
              </w:rPr>
            </w:pPr>
          </w:p>
        </w:tc>
        <w:tc>
          <w:tcPr>
            <w:tcW w:w="1455" w:type="dxa"/>
            <w:vAlign w:val="center"/>
          </w:tcPr>
          <w:p>
            <w:pPr>
              <w:pStyle w:val="14"/>
              <w:rPr>
                <w:sz w:val="18"/>
                <w:szCs w:val="18"/>
              </w:rPr>
            </w:pPr>
          </w:p>
        </w:tc>
        <w:tc>
          <w:tcPr>
            <w:tcW w:w="645" w:type="dxa"/>
            <w:vAlign w:val="center"/>
          </w:tcPr>
          <w:p>
            <w:pPr>
              <w:pStyle w:val="15"/>
              <w:rPr>
                <w:sz w:val="18"/>
                <w:szCs w:val="18"/>
              </w:rPr>
            </w:pPr>
          </w:p>
        </w:tc>
        <w:tc>
          <w:tcPr>
            <w:tcW w:w="600" w:type="dxa"/>
            <w:vAlign w:val="center"/>
          </w:tcPr>
          <w:p>
            <w:pPr>
              <w:pStyle w:val="13"/>
              <w:rPr>
                <w:sz w:val="18"/>
                <w:szCs w:val="18"/>
              </w:rPr>
            </w:pPr>
          </w:p>
        </w:tc>
        <w:tc>
          <w:tcPr>
            <w:tcW w:w="930" w:type="dxa"/>
            <w:vAlign w:val="center"/>
          </w:tcPr>
          <w:p>
            <w:pPr>
              <w:pStyle w:val="13"/>
              <w:rPr>
                <w:sz w:val="18"/>
                <w:szCs w:val="18"/>
              </w:rPr>
            </w:pPr>
          </w:p>
        </w:tc>
        <w:tc>
          <w:tcPr>
            <w:tcW w:w="990" w:type="dxa"/>
            <w:vAlign w:val="center"/>
          </w:tcPr>
          <w:p>
            <w:pPr>
              <w:pStyle w:val="13"/>
              <w:rPr>
                <w:sz w:val="18"/>
                <w:szCs w:val="18"/>
              </w:rPr>
            </w:pPr>
            <w:r>
              <w:rPr>
                <w:sz w:val="18"/>
                <w:szCs w:val="18"/>
              </w:rPr>
              <w:t>358.19</w:t>
            </w:r>
          </w:p>
        </w:tc>
        <w:tc>
          <w:tcPr>
            <w:tcW w:w="1035" w:type="dxa"/>
            <w:vAlign w:val="center"/>
          </w:tcPr>
          <w:p>
            <w:pPr>
              <w:pStyle w:val="13"/>
              <w:rPr>
                <w:sz w:val="18"/>
                <w:szCs w:val="18"/>
              </w:rPr>
            </w:pPr>
          </w:p>
        </w:tc>
        <w:tc>
          <w:tcPr>
            <w:tcW w:w="795" w:type="dxa"/>
            <w:vAlign w:val="center"/>
          </w:tcPr>
          <w:p>
            <w:pPr>
              <w:pStyle w:val="13"/>
              <w:rPr>
                <w:sz w:val="18"/>
                <w:szCs w:val="18"/>
              </w:rPr>
            </w:pPr>
          </w:p>
        </w:tc>
        <w:tc>
          <w:tcPr>
            <w:tcW w:w="1020" w:type="dxa"/>
            <w:vAlign w:val="center"/>
          </w:tcPr>
          <w:p>
            <w:pPr>
              <w:pStyle w:val="13"/>
              <w:rPr>
                <w:sz w:val="18"/>
                <w:szCs w:val="18"/>
              </w:rPr>
            </w:pPr>
          </w:p>
        </w:tc>
        <w:tc>
          <w:tcPr>
            <w:tcW w:w="810" w:type="dxa"/>
            <w:vAlign w:val="center"/>
          </w:tcPr>
          <w:p>
            <w:pPr>
              <w:pStyle w:val="13"/>
              <w:rPr>
                <w:sz w:val="18"/>
                <w:szCs w:val="18"/>
              </w:rPr>
            </w:pPr>
          </w:p>
        </w:tc>
        <w:tc>
          <w:tcPr>
            <w:tcW w:w="690" w:type="dxa"/>
            <w:vAlign w:val="center"/>
          </w:tcPr>
          <w:p>
            <w:pPr>
              <w:pStyle w:val="13"/>
              <w:rPr>
                <w:sz w:val="18"/>
                <w:szCs w:val="18"/>
              </w:rPr>
            </w:pPr>
          </w:p>
        </w:tc>
        <w:tc>
          <w:tcPr>
            <w:tcW w:w="810" w:type="dxa"/>
            <w:vAlign w:val="center"/>
          </w:tcPr>
          <w:p>
            <w:pPr>
              <w:pStyle w:val="13"/>
              <w:rPr>
                <w:sz w:val="18"/>
                <w:szCs w:val="18"/>
              </w:rPr>
            </w:pPr>
            <w:r>
              <w:rPr>
                <w:sz w:val="18"/>
                <w:szCs w:val="18"/>
              </w:rPr>
              <w:t>358.19</w:t>
            </w:r>
          </w:p>
        </w:tc>
        <w:tc>
          <w:tcPr>
            <w:tcW w:w="834" w:type="dxa"/>
            <w:vAlign w:val="center"/>
          </w:tcPr>
          <w:p>
            <w:pPr>
              <w:pStyle w:val="13"/>
              <w:rPr>
                <w:sz w:val="18"/>
                <w:szCs w:val="18"/>
              </w:rPr>
            </w:pPr>
          </w:p>
        </w:tc>
        <w:tc>
          <w:tcPr>
            <w:tcW w:w="1065" w:type="dxa"/>
            <w:vAlign w:val="center"/>
          </w:tcPr>
          <w:p>
            <w:pPr>
              <w:pStyle w:val="13"/>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661" w:type="dxa"/>
            <w:vAlign w:val="center"/>
          </w:tcPr>
          <w:p>
            <w:pPr>
              <w:pStyle w:val="14"/>
              <w:rPr>
                <w:sz w:val="18"/>
                <w:szCs w:val="18"/>
              </w:rPr>
            </w:pPr>
            <w:r>
              <w:rPr>
                <w:sz w:val="18"/>
                <w:szCs w:val="18"/>
              </w:rPr>
              <w:t>廊坊市粮油质量检测中心实验室建设资金</w:t>
            </w:r>
          </w:p>
        </w:tc>
        <w:tc>
          <w:tcPr>
            <w:tcW w:w="945" w:type="dxa"/>
            <w:vAlign w:val="center"/>
          </w:tcPr>
          <w:p>
            <w:pPr>
              <w:pStyle w:val="13"/>
              <w:rPr>
                <w:sz w:val="18"/>
                <w:szCs w:val="18"/>
              </w:rPr>
            </w:pPr>
            <w:r>
              <w:rPr>
                <w:sz w:val="18"/>
                <w:szCs w:val="18"/>
              </w:rPr>
              <w:t>208.65</w:t>
            </w:r>
          </w:p>
        </w:tc>
        <w:tc>
          <w:tcPr>
            <w:tcW w:w="1230" w:type="dxa"/>
            <w:vAlign w:val="center"/>
          </w:tcPr>
          <w:p>
            <w:pPr>
              <w:pStyle w:val="14"/>
              <w:rPr>
                <w:sz w:val="18"/>
                <w:szCs w:val="18"/>
              </w:rPr>
            </w:pPr>
          </w:p>
        </w:tc>
        <w:tc>
          <w:tcPr>
            <w:tcW w:w="1455" w:type="dxa"/>
            <w:vAlign w:val="center"/>
          </w:tcPr>
          <w:p>
            <w:pPr>
              <w:pStyle w:val="14"/>
              <w:rPr>
                <w:sz w:val="18"/>
                <w:szCs w:val="18"/>
              </w:rPr>
            </w:pPr>
          </w:p>
        </w:tc>
        <w:tc>
          <w:tcPr>
            <w:tcW w:w="645" w:type="dxa"/>
            <w:vAlign w:val="center"/>
          </w:tcPr>
          <w:p>
            <w:pPr>
              <w:pStyle w:val="15"/>
              <w:rPr>
                <w:sz w:val="18"/>
                <w:szCs w:val="18"/>
              </w:rPr>
            </w:pPr>
          </w:p>
        </w:tc>
        <w:tc>
          <w:tcPr>
            <w:tcW w:w="600" w:type="dxa"/>
            <w:vAlign w:val="center"/>
          </w:tcPr>
          <w:p>
            <w:pPr>
              <w:pStyle w:val="13"/>
              <w:rPr>
                <w:sz w:val="18"/>
                <w:szCs w:val="18"/>
              </w:rPr>
            </w:pPr>
          </w:p>
        </w:tc>
        <w:tc>
          <w:tcPr>
            <w:tcW w:w="930" w:type="dxa"/>
            <w:vAlign w:val="center"/>
          </w:tcPr>
          <w:p>
            <w:pPr>
              <w:pStyle w:val="13"/>
              <w:rPr>
                <w:sz w:val="18"/>
                <w:szCs w:val="18"/>
              </w:rPr>
            </w:pPr>
          </w:p>
        </w:tc>
        <w:tc>
          <w:tcPr>
            <w:tcW w:w="990" w:type="dxa"/>
            <w:vAlign w:val="center"/>
          </w:tcPr>
          <w:p>
            <w:pPr>
              <w:pStyle w:val="13"/>
              <w:rPr>
                <w:sz w:val="18"/>
                <w:szCs w:val="18"/>
              </w:rPr>
            </w:pPr>
            <w:r>
              <w:rPr>
                <w:sz w:val="18"/>
                <w:szCs w:val="18"/>
              </w:rPr>
              <w:t>208.65</w:t>
            </w:r>
          </w:p>
        </w:tc>
        <w:tc>
          <w:tcPr>
            <w:tcW w:w="1035" w:type="dxa"/>
            <w:vAlign w:val="center"/>
          </w:tcPr>
          <w:p>
            <w:pPr>
              <w:pStyle w:val="13"/>
              <w:rPr>
                <w:sz w:val="18"/>
                <w:szCs w:val="18"/>
              </w:rPr>
            </w:pPr>
          </w:p>
        </w:tc>
        <w:tc>
          <w:tcPr>
            <w:tcW w:w="795" w:type="dxa"/>
            <w:vAlign w:val="center"/>
          </w:tcPr>
          <w:p>
            <w:pPr>
              <w:pStyle w:val="13"/>
              <w:rPr>
                <w:sz w:val="18"/>
                <w:szCs w:val="18"/>
              </w:rPr>
            </w:pPr>
          </w:p>
        </w:tc>
        <w:tc>
          <w:tcPr>
            <w:tcW w:w="1020" w:type="dxa"/>
            <w:vAlign w:val="center"/>
          </w:tcPr>
          <w:p>
            <w:pPr>
              <w:pStyle w:val="13"/>
              <w:rPr>
                <w:sz w:val="18"/>
                <w:szCs w:val="18"/>
              </w:rPr>
            </w:pPr>
          </w:p>
        </w:tc>
        <w:tc>
          <w:tcPr>
            <w:tcW w:w="810" w:type="dxa"/>
            <w:vAlign w:val="center"/>
          </w:tcPr>
          <w:p>
            <w:pPr>
              <w:pStyle w:val="13"/>
              <w:rPr>
                <w:sz w:val="18"/>
                <w:szCs w:val="18"/>
              </w:rPr>
            </w:pPr>
          </w:p>
        </w:tc>
        <w:tc>
          <w:tcPr>
            <w:tcW w:w="690" w:type="dxa"/>
            <w:vAlign w:val="center"/>
          </w:tcPr>
          <w:p>
            <w:pPr>
              <w:pStyle w:val="13"/>
              <w:rPr>
                <w:sz w:val="18"/>
                <w:szCs w:val="18"/>
              </w:rPr>
            </w:pPr>
          </w:p>
        </w:tc>
        <w:tc>
          <w:tcPr>
            <w:tcW w:w="810" w:type="dxa"/>
            <w:vAlign w:val="center"/>
          </w:tcPr>
          <w:p>
            <w:pPr>
              <w:pStyle w:val="13"/>
              <w:rPr>
                <w:sz w:val="18"/>
                <w:szCs w:val="18"/>
              </w:rPr>
            </w:pPr>
            <w:r>
              <w:rPr>
                <w:sz w:val="18"/>
                <w:szCs w:val="18"/>
              </w:rPr>
              <w:t>208.65</w:t>
            </w:r>
          </w:p>
        </w:tc>
        <w:tc>
          <w:tcPr>
            <w:tcW w:w="834" w:type="dxa"/>
            <w:vAlign w:val="center"/>
          </w:tcPr>
          <w:p>
            <w:pPr>
              <w:pStyle w:val="13"/>
              <w:rPr>
                <w:sz w:val="18"/>
                <w:szCs w:val="18"/>
              </w:rPr>
            </w:pPr>
          </w:p>
        </w:tc>
        <w:tc>
          <w:tcPr>
            <w:tcW w:w="1065" w:type="dxa"/>
            <w:vAlign w:val="center"/>
          </w:tcPr>
          <w:p>
            <w:pPr>
              <w:pStyle w:val="13"/>
              <w:rPr>
                <w:sz w:val="18"/>
                <w:szCs w:val="18"/>
              </w:rPr>
            </w:pPr>
          </w:p>
        </w:tc>
      </w:tr>
    </w:tbl>
    <w:p>
      <w:pPr>
        <w:spacing w:line="500" w:lineRule="exact"/>
        <w:ind w:firstLine="420"/>
        <w:rPr>
          <w:rFonts w:ascii="方正仿宋_GBK" w:hAnsi="方正仿宋_GBK" w:eastAsia="方正仿宋_GBK" w:cs="方正仿宋_GBK"/>
          <w:color w:val="000000"/>
        </w:rPr>
      </w:pPr>
      <w:r>
        <w:rPr>
          <w:rFonts w:ascii="方正仿宋_GBK" w:hAnsi="方正仿宋_GBK" w:eastAsia="方正仿宋_GBK" w:cs="方正仿宋_GBK"/>
          <w:color w:val="000000"/>
        </w:rPr>
        <w:t>注：同一采购目录序号的物品，其单价会因配置规格不同而变动，均符合资产配置标准。涉密采购事项按照相关规定执行。</w:t>
      </w:r>
    </w:p>
    <w:p>
      <w:pPr>
        <w:spacing w:line="500" w:lineRule="exact"/>
        <w:ind w:firstLine="420"/>
        <w:rPr>
          <w:rFonts w:ascii="方正仿宋_GBK" w:hAnsi="方正仿宋_GBK" w:eastAsia="方正仿宋_GBK" w:cs="方正仿宋_GBK"/>
          <w:color w:val="000000"/>
        </w:rPr>
      </w:pPr>
    </w:p>
    <w:p>
      <w:pPr>
        <w:spacing w:line="500" w:lineRule="exact"/>
        <w:ind w:firstLine="420"/>
        <w:rPr>
          <w:rFonts w:hint="eastAsia" w:ascii="方正仿宋_GBK" w:hAnsi="方正仿宋_GBK" w:eastAsia="方正仿宋_GBK" w:cs="方正仿宋_GBK"/>
          <w:color w:val="000000"/>
        </w:rPr>
      </w:pPr>
    </w:p>
    <w:p>
      <w:pPr>
        <w:spacing w:line="500" w:lineRule="exact"/>
        <w:ind w:firstLine="420"/>
        <w:rPr>
          <w:rFonts w:ascii="Times New Roman" w:hAnsi="Times New Roman" w:eastAsia="黑体" w:cs="Times New Roman"/>
          <w:sz w:val="32"/>
          <w:szCs w:val="32"/>
        </w:rPr>
      </w:pPr>
      <w:r>
        <w:rPr>
          <w:rFonts w:ascii="Times New Roman" w:hAnsi="Times New Roman" w:eastAsia="黑体" w:cs="Times New Roman"/>
          <w:sz w:val="32"/>
          <w:szCs w:val="32"/>
        </w:rPr>
        <w:t>七、国有资产信息</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廊坊市</w:t>
      </w:r>
      <w:r>
        <w:rPr>
          <w:rFonts w:hint="eastAsia" w:ascii="Times New Roman" w:hAnsi="Times New Roman" w:eastAsia="仿宋_GB2312" w:cs="Times New Roman"/>
          <w:sz w:val="32"/>
          <w:szCs w:val="32"/>
          <w:lang w:val="en-US" w:eastAsia="zh-CN"/>
        </w:rPr>
        <w:t>发展和改革委员会</w:t>
      </w:r>
      <w:r>
        <w:rPr>
          <w:rFonts w:ascii="Times New Roman" w:hAnsi="Times New Roman" w:eastAsia="仿宋_GB2312" w:cs="Times New Roman"/>
          <w:sz w:val="32"/>
          <w:szCs w:val="32"/>
        </w:rPr>
        <w:t>（含所属单位）上年末固定资产金额为</w:t>
      </w:r>
      <w:r>
        <w:rPr>
          <w:rFonts w:hint="eastAsia" w:ascii="Times New Roman" w:hAnsi="Times New Roman" w:eastAsia="仿宋_GB2312" w:cs="Times New Roman"/>
          <w:sz w:val="32"/>
          <w:szCs w:val="32"/>
          <w:lang w:val="en-US" w:eastAsia="zh-CN"/>
        </w:rPr>
        <w:t>3563.52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（详见下表）</w:t>
      </w:r>
      <w:r>
        <w:rPr>
          <w:rFonts w:ascii="Times New Roman" w:hAnsi="Times New Roman" w:eastAsia="仿宋_GB2312" w:cs="Times New Roman"/>
          <w:sz w:val="32"/>
          <w:szCs w:val="32"/>
        </w:rPr>
        <w:t>，本年度我部门拟购置固定资产</w:t>
      </w:r>
      <w:r>
        <w:rPr>
          <w:rFonts w:hint="eastAsia" w:ascii="Times New Roman" w:hAnsi="Times New Roman" w:eastAsia="仿宋_GB2312" w:cs="Times New Roman"/>
          <w:sz w:val="32"/>
          <w:szCs w:val="32"/>
        </w:rPr>
        <w:t>总额为</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主要为</w:t>
      </w:r>
      <w:r>
        <w:rPr>
          <w:rFonts w:hint="eastAsia" w:ascii="Times New Roman" w:hAnsi="Times New Roman" w:eastAsia="仿宋_GB2312" w:cs="Times New Roman"/>
          <w:sz w:val="32"/>
          <w:szCs w:val="32"/>
          <w:lang w:val="en-US" w:eastAsia="zh-CN"/>
        </w:rPr>
        <w:t>购置</w:t>
      </w:r>
      <w:r>
        <w:rPr>
          <w:rFonts w:ascii="Times New Roman" w:hAnsi="Times New Roman" w:eastAsia="仿宋_GB2312" w:cs="Times New Roman"/>
          <w:sz w:val="32"/>
          <w:szCs w:val="32"/>
        </w:rPr>
        <w:t>空调，已列入政府采购预算</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详见</w:t>
      </w:r>
      <w:r>
        <w:rPr>
          <w:rFonts w:hint="eastAsia" w:ascii="Times New Roman" w:hAnsi="Times New Roman" w:eastAsia="仿宋_GB2312" w:cs="Times New Roman"/>
          <w:sz w:val="32"/>
          <w:szCs w:val="32"/>
        </w:rPr>
        <w:t>政府采购</w:t>
      </w:r>
      <w:r>
        <w:rPr>
          <w:rFonts w:ascii="Times New Roman" w:hAnsi="Times New Roman" w:eastAsia="仿宋_GB2312" w:cs="Times New Roman"/>
          <w:sz w:val="32"/>
          <w:szCs w:val="32"/>
        </w:rPr>
        <w:t>预算表。</w:t>
      </w:r>
    </w:p>
    <w:tbl>
      <w:tblPr>
        <w:tblStyle w:val="8"/>
        <w:tblW w:w="13482" w:type="dxa"/>
        <w:tblInd w:w="93" w:type="dxa"/>
        <w:tblLayout w:type="fixed"/>
        <w:tblCellMar>
          <w:top w:w="0" w:type="dxa"/>
          <w:left w:w="108" w:type="dxa"/>
          <w:bottom w:w="0" w:type="dxa"/>
          <w:right w:w="108" w:type="dxa"/>
        </w:tblCellMar>
      </w:tblPr>
      <w:tblGrid>
        <w:gridCol w:w="5224"/>
        <w:gridCol w:w="3155"/>
        <w:gridCol w:w="5103"/>
      </w:tblGrid>
      <w:tr>
        <w:tblPrEx>
          <w:tblLayout w:type="fixed"/>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廊坊市市直部门固定资产占用情况表</w:t>
            </w:r>
          </w:p>
        </w:tc>
      </w:tr>
      <w:tr>
        <w:tblPrEx>
          <w:tblLayout w:type="fixed"/>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shd w:val="clear" w:color="auto" w:fill="auto"/>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编制部门：廊坊市</w:t>
            </w:r>
            <w:r>
              <w:rPr>
                <w:rFonts w:hint="eastAsia" w:ascii="Times New Roman" w:hAnsi="Times New Roman" w:eastAsia="仿宋_GB2312" w:cs="Times New Roman"/>
                <w:kern w:val="0"/>
                <w:sz w:val="22"/>
                <w:lang w:val="en-US" w:eastAsia="zh-CN"/>
              </w:rPr>
              <w:t>发展和改革委员会</w:t>
            </w:r>
          </w:p>
        </w:tc>
        <w:tc>
          <w:tcPr>
            <w:tcW w:w="5103" w:type="dxa"/>
            <w:tcBorders>
              <w:top w:val="nil"/>
              <w:left w:val="nil"/>
              <w:bottom w:val="nil"/>
              <w:right w:val="nil"/>
            </w:tcBorders>
            <w:shd w:val="clear" w:color="auto" w:fill="auto"/>
            <w:noWrap/>
            <w:vAlign w:val="center"/>
          </w:tcPr>
          <w:p>
            <w:pPr>
              <w:widowControl/>
              <w:spacing w:line="584"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rPr>
              <w:t>2</w:t>
            </w:r>
            <w:r>
              <w:rPr>
                <w:rFonts w:ascii="Times New Roman" w:hAnsi="Times New Roman" w:eastAsia="仿宋_GB2312" w:cs="Times New Roman"/>
                <w:kern w:val="0"/>
                <w:sz w:val="22"/>
              </w:rPr>
              <w:t xml:space="preserve">1年12月31日  </w:t>
            </w:r>
          </w:p>
        </w:tc>
      </w:tr>
      <w:tr>
        <w:tblPrEx>
          <w:tblLayout w:type="fixed"/>
          <w:tblCellMar>
            <w:top w:w="0" w:type="dxa"/>
            <w:left w:w="108" w:type="dxa"/>
            <w:bottom w:w="0" w:type="dxa"/>
            <w:right w:w="108" w:type="dxa"/>
          </w:tblCellMar>
        </w:tblPrEx>
        <w:trPr>
          <w:trHeight w:val="567" w:hRule="exact"/>
        </w:trPr>
        <w:tc>
          <w:tcPr>
            <w:tcW w:w="52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55"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5103"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ascii="Times New Roman" w:hAnsi="Times New Roman" w:eastAsia="仿宋_GB2312" w:cs="Times New Roman"/>
                <w:sz w:val="22"/>
              </w:rPr>
              <w:t>——</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3563.52</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14454.83</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1399.24</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其中：办公用房（平方米）</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hint="eastAsia" w:ascii="Times New Roman" w:hAnsi="Times New Roman" w:eastAsia="仿宋_GB2312" w:cs="Times New Roman"/>
                <w:sz w:val="22"/>
                <w:lang w:val="en-US" w:eastAsia="zh-CN"/>
              </w:rPr>
              <w:t>14454.83</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hint="eastAsia" w:ascii="Times New Roman" w:hAnsi="Times New Roman" w:eastAsia="仿宋_GB2312" w:cs="Times New Roman"/>
                <w:sz w:val="22"/>
                <w:lang w:val="en-US" w:eastAsia="zh-CN"/>
              </w:rPr>
              <w:t>1399.24</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333.51</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187.61</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2048</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1643.16</w:t>
            </w:r>
          </w:p>
        </w:tc>
      </w:tr>
    </w:tbl>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八、名词解释</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1、一般公共预算拨款收入：</w:t>
      </w:r>
      <w:r>
        <w:rPr>
          <w:rFonts w:ascii="Times New Roman" w:hAnsi="Times New Roman" w:eastAsia="仿宋_GB2312" w:cs="Times New Roman"/>
          <w:sz w:val="32"/>
          <w:szCs w:val="32"/>
        </w:rPr>
        <w:t>指省级财政当年拨付的资金。</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2、事业收入：</w:t>
      </w:r>
      <w:r>
        <w:rPr>
          <w:rFonts w:ascii="Times New Roman" w:hAnsi="Times New Roman" w:eastAsia="仿宋_GB2312" w:cs="Times New Roman"/>
          <w:sz w:val="32"/>
          <w:szCs w:val="32"/>
        </w:rPr>
        <w:t>指事业单位开展专业业务活动及辅助活动所取得的收入。</w:t>
      </w:r>
    </w:p>
    <w:p>
      <w:pPr>
        <w:tabs>
          <w:tab w:val="left" w:pos="11490"/>
        </w:tabs>
        <w:spacing w:line="584"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3、其他收入：</w:t>
      </w:r>
      <w:r>
        <w:rPr>
          <w:rFonts w:ascii="Times New Roman" w:hAnsi="Times New Roman" w:eastAsia="仿宋_GB2312" w:cs="Times New Roman"/>
          <w:sz w:val="32"/>
          <w:szCs w:val="32"/>
        </w:rPr>
        <w:t>指除“一般公共预算拨款收入”、“事业收入”等以外的收入。主要是按规定动用的租房收入、存款利息收入等。</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4、基本支出：</w:t>
      </w:r>
      <w:r>
        <w:rPr>
          <w:rFonts w:ascii="Times New Roman" w:hAnsi="Times New Roman" w:eastAsia="仿宋_GB2312" w:cs="Times New Roman"/>
          <w:sz w:val="32"/>
          <w:szCs w:val="32"/>
        </w:rPr>
        <w:t>指为保障机构正常运转、完成日常工作任务而发生的人员支出和公用支出。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5、项目支出：</w:t>
      </w:r>
      <w:r>
        <w:rPr>
          <w:rFonts w:ascii="Times New Roman" w:hAnsi="Times New Roman" w:eastAsia="仿宋_GB2312" w:cs="Times New Roman"/>
          <w:sz w:val="32"/>
          <w:szCs w:val="32"/>
        </w:rPr>
        <w:t>指在基本支出之外为完成特定行政任务和事业发展目标所发生的支出。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6、上缴上级支出：</w:t>
      </w:r>
      <w:r>
        <w:rPr>
          <w:rFonts w:ascii="Times New Roman" w:hAnsi="Times New Roman" w:eastAsia="仿宋_GB2312" w:cs="Times New Roman"/>
          <w:sz w:val="32"/>
          <w:szCs w:val="32"/>
        </w:rPr>
        <w:t>指下级单位上缴上级的支出。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7、“三公”经费：</w:t>
      </w:r>
      <w:r>
        <w:rPr>
          <w:rFonts w:ascii="Times New Roman" w:hAnsi="Times New Roman" w:eastAsia="仿宋_GB2312" w:cs="Times New Roman"/>
          <w:sz w:val="32"/>
          <w:szCs w:val="32"/>
        </w:rPr>
        <w:t>纳入省级财政预算管理的“三公”经费，是指省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8、机关运行费：</w:t>
      </w:r>
      <w:r>
        <w:rPr>
          <w:rFonts w:ascii="Times New Roman" w:hAnsi="Times New Roman" w:eastAsia="仿宋_GB2312"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9、上年结转：</w:t>
      </w:r>
      <w:r>
        <w:rPr>
          <w:rFonts w:ascii="Times New Roman" w:hAnsi="Times New Roman" w:eastAsia="仿宋_GB2312" w:cs="Times New Roman"/>
          <w:sz w:val="32"/>
          <w:szCs w:val="32"/>
        </w:rPr>
        <w:t>指以前年度尚未完成、结转到本年仍按原规定用途继续使用的资金。</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10、事业单位经营支出：</w:t>
      </w:r>
      <w:r>
        <w:rPr>
          <w:rFonts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九、其他需要说明的事项</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我部门无其他需要说明的事项。</w:t>
      </w:r>
    </w:p>
    <w:sectPr>
      <w:pgSz w:w="16838" w:h="11906" w:orient="landscape"/>
      <w:pgMar w:top="850" w:right="590" w:bottom="794" w:left="59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roman"/>
    <w:pitch w:val="default"/>
    <w:sig w:usb0="00000000" w:usb1="00000000" w:usb2="00000000" w:usb3="00000000" w:csb0="00000000" w:csb1="00000000"/>
  </w:font>
  <w:font w:name="方正仿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w:t>
    </w:r>
    <w:r>
      <w:fldChar w:fldCharType="begin"/>
    </w:r>
    <w:r>
      <w:instrText xml:space="preserve">PAGE   \* MERGEFORMAT</w:instrText>
    </w:r>
    <w:r>
      <w:fldChar w:fldCharType="separate"/>
    </w:r>
    <w:r>
      <w:rPr>
        <w:lang w:val="zh-CN"/>
      </w:rPr>
      <w:t>9</w:t>
    </w:r>
    <w:r>
      <w:rPr>
        <w:lang w:val="zh-CN"/>
      </w:rPr>
      <w:fldChar w:fldCharType="end"/>
    </w:r>
    <w:r>
      <w:rPr>
        <w:rFonts w:hint="eastAsia"/>
      </w:rPr>
      <w:t>-</w: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4694A4"/>
    <w:multiLevelType w:val="singleLevel"/>
    <w:tmpl w:val="BF4694A4"/>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47CC"/>
    <w:rsid w:val="000230E6"/>
    <w:rsid w:val="0025632D"/>
    <w:rsid w:val="004A54AA"/>
    <w:rsid w:val="00944233"/>
    <w:rsid w:val="00B40732"/>
    <w:rsid w:val="00B80935"/>
    <w:rsid w:val="00D347CC"/>
    <w:rsid w:val="02086DD8"/>
    <w:rsid w:val="03B12DB8"/>
    <w:rsid w:val="05141BA3"/>
    <w:rsid w:val="05C462F8"/>
    <w:rsid w:val="0B4F6C04"/>
    <w:rsid w:val="0E922A19"/>
    <w:rsid w:val="0EAF2635"/>
    <w:rsid w:val="150C2FD1"/>
    <w:rsid w:val="15FC008F"/>
    <w:rsid w:val="1994648C"/>
    <w:rsid w:val="205E3A72"/>
    <w:rsid w:val="3AEC2EC7"/>
    <w:rsid w:val="40886294"/>
    <w:rsid w:val="4B6D367F"/>
    <w:rsid w:val="598502B8"/>
    <w:rsid w:val="5D617855"/>
    <w:rsid w:val="601C3C05"/>
    <w:rsid w:val="6DC35F5C"/>
    <w:rsid w:val="71AF40D8"/>
    <w:rsid w:val="73E91BB9"/>
    <w:rsid w:val="7A4911B1"/>
    <w:rsid w:val="7BB95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uiPriority w:val="0"/>
    <w:rPr>
      <w:sz w:val="18"/>
      <w:szCs w:val="18"/>
    </w:rPr>
  </w:style>
  <w:style w:type="paragraph" w:styleId="3">
    <w:name w:val="footer"/>
    <w:basedOn w:val="1"/>
    <w:qFormat/>
    <w:uiPriority w:val="0"/>
    <w:pPr>
      <w:tabs>
        <w:tab w:val="center" w:pos="4153"/>
        <w:tab w:val="right" w:pos="8306"/>
      </w:tabs>
      <w:snapToGrid w:val="0"/>
      <w:jc w:val="left"/>
    </w:pPr>
    <w:rPr>
      <w:rFonts w:ascii="Times New Roman" w:hAnsi="Times New Roman"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5">
    <w:name w:val="toc 1"/>
    <w:basedOn w:val="1"/>
    <w:next w:val="1"/>
    <w:qFormat/>
    <w:uiPriority w:val="0"/>
    <w:rPr>
      <w:rFonts w:ascii="Times New Roman" w:hAnsi="Times New Roman" w:cs="Times New Roman"/>
      <w:szCs w:val="24"/>
    </w:rPr>
  </w:style>
  <w:style w:type="paragraph" w:styleId="6">
    <w:name w:val="footnote text"/>
    <w:basedOn w:val="1"/>
    <w:qFormat/>
    <w:uiPriority w:val="0"/>
    <w:pPr>
      <w:snapToGrid w:val="0"/>
      <w:jc w:val="left"/>
    </w:pPr>
    <w:rPr>
      <w:rFonts w:cs="Times New Roman"/>
      <w:sz w:val="18"/>
      <w:szCs w:val="18"/>
    </w:rPr>
  </w:style>
  <w:style w:type="paragraph" w:styleId="7">
    <w:name w:val="toc 2"/>
    <w:basedOn w:val="1"/>
    <w:next w:val="1"/>
    <w:qFormat/>
    <w:uiPriority w:val="0"/>
    <w:pPr>
      <w:ind w:left="200" w:leftChars="200"/>
    </w:pPr>
    <w:rPr>
      <w:rFonts w:ascii="Times New Roman" w:hAnsi="Times New Roman" w:cs="Times New Roman"/>
      <w:szCs w:val="24"/>
    </w:rPr>
  </w:style>
  <w:style w:type="character" w:styleId="10">
    <w:name w:val="footnote reference"/>
    <w:qFormat/>
    <w:uiPriority w:val="0"/>
    <w:rPr>
      <w:vertAlign w:val="superscript"/>
    </w:rPr>
  </w:style>
  <w:style w:type="paragraph" w:customStyle="1" w:styleId="1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4">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5">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6">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7">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8">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9">
    <w:name w:val="插入文本样式-插入部门职责文件"/>
    <w:basedOn w:val="1"/>
    <w:qFormat/>
    <w:uiPriority w:val="0"/>
    <w:pPr>
      <w:spacing w:line="500" w:lineRule="exact"/>
      <w:ind w:firstLine="560"/>
    </w:pPr>
    <w:rPr>
      <w:rFonts w:eastAsia="方正仿宋_GBK"/>
      <w:sz w:val="28"/>
    </w:rPr>
  </w:style>
  <w:style w:type="table" w:customStyle="1" w:styleId="20">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507</Words>
  <Characters>2896</Characters>
  <Lines>24</Lines>
  <Paragraphs>6</Paragraphs>
  <TotalTime>0</TotalTime>
  <ScaleCrop>false</ScaleCrop>
  <LinksUpToDate>false</LinksUpToDate>
  <CharactersWithSpaces>3397</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2020-01-13T03:27:00Z</dcterms:created>
  <dc:creator>guest</dc:creator>
  <cp:lastModifiedBy>风雨</cp:lastModifiedBy>
  <cp:lastPrinted>2022-01-27T07:38:00Z</cp:lastPrinted>
  <dcterms:modified xsi:type="dcterms:W3CDTF">2022-01-25T07:51:20Z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